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14:paraId="4B61A4BB" w14:textId="77777777" w:rsidTr="00D43B67">
        <w:trPr>
          <w:trHeight w:val="2172"/>
        </w:trPr>
        <w:tc>
          <w:tcPr>
            <w:tcW w:w="4253" w:type="dxa"/>
          </w:tcPr>
          <w:p w14:paraId="6F89BB5E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11E60774" w14:textId="77777777"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0B89BD2" w14:textId="77777777"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DA87D23" wp14:editId="43D59BA1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07BD1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053EA75A" w14:textId="77777777"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14:paraId="4FA6D5ED" w14:textId="77777777"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74C04953" wp14:editId="0FC9ED3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9C1B5" w14:textId="77777777" w:rsidR="00D43B67" w:rsidRPr="007E378E" w:rsidRDefault="00D43B67" w:rsidP="00D43B67"/>
          <w:p w14:paraId="4A392A13" w14:textId="77777777"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14:paraId="0E0FF545" w14:textId="77777777"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15410DCB" w14:textId="77777777"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14:paraId="7BBAE149" w14:textId="77777777"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7BF97378" w14:textId="77777777"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2BCFC51F" w14:textId="77777777"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14:paraId="040CE4B5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5CC9F9EC" w14:textId="77777777"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14:paraId="4B85AD66" w14:textId="77777777"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14:paraId="6259F3A6" w14:textId="77777777"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FE52017" w14:textId="77777777" w:rsidR="00C0555F" w:rsidRDefault="00C0555F" w:rsidP="00AA5739">
            <w:pPr>
              <w:pStyle w:val="Noeeu1"/>
            </w:pPr>
          </w:p>
        </w:tc>
      </w:tr>
    </w:tbl>
    <w:p w14:paraId="5A58007D" w14:textId="3F542F3B" w:rsidR="00F41F92" w:rsidRDefault="00C0555F" w:rsidP="008A267C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14:paraId="1BA4BA29" w14:textId="77777777" w:rsidR="00187C09" w:rsidRDefault="00187C09" w:rsidP="008A267C">
      <w:pPr>
        <w:spacing w:line="300" w:lineRule="exact"/>
        <w:jc w:val="center"/>
        <w:rPr>
          <w:sz w:val="2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14:paraId="7B6446B6" w14:textId="77777777" w:rsidTr="00DA4151">
        <w:trPr>
          <w:jc w:val="center"/>
        </w:trPr>
        <w:tc>
          <w:tcPr>
            <w:tcW w:w="10205" w:type="dxa"/>
          </w:tcPr>
          <w:p w14:paraId="3F549313" w14:textId="77777777" w:rsidR="00DA4151" w:rsidRPr="00DA4151" w:rsidRDefault="00DA4151" w:rsidP="00DA4151">
            <w:pPr>
              <w:adjustRightInd w:val="0"/>
              <w:spacing w:line="235" w:lineRule="auto"/>
              <w:ind w:right="4850"/>
              <w:jc w:val="both"/>
              <w:rPr>
                <w:sz w:val="6"/>
                <w:szCs w:val="28"/>
              </w:rPr>
            </w:pPr>
          </w:p>
          <w:p w14:paraId="7D179E89" w14:textId="4A411F24" w:rsidR="001C5F00" w:rsidRPr="00DA4151" w:rsidRDefault="001C5F00" w:rsidP="00187C09">
            <w:pPr>
              <w:adjustRightInd w:val="0"/>
              <w:spacing w:line="235" w:lineRule="auto"/>
              <w:ind w:right="5133"/>
              <w:jc w:val="both"/>
              <w:rPr>
                <w:rFonts w:eastAsiaTheme="minorHAnsi"/>
                <w:sz w:val="14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C607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приказ </w:t>
            </w:r>
            <w:r w:rsidRPr="00AD1582">
              <w:rPr>
                <w:sz w:val="28"/>
                <w:szCs w:val="28"/>
              </w:rPr>
              <w:t xml:space="preserve">Комитета Республики Татарстан по охране объектов </w:t>
            </w:r>
            <w:r w:rsidRPr="003B0C88">
              <w:rPr>
                <w:spacing w:val="-6"/>
                <w:sz w:val="28"/>
                <w:szCs w:val="28"/>
              </w:rPr>
              <w:t>культурного наследия</w:t>
            </w:r>
            <w:r w:rsidR="008A267C" w:rsidRPr="003B0C88">
              <w:rPr>
                <w:spacing w:val="-6"/>
                <w:sz w:val="28"/>
                <w:szCs w:val="28"/>
              </w:rPr>
              <w:t xml:space="preserve"> </w:t>
            </w:r>
            <w:r w:rsidRPr="003B0C88">
              <w:rPr>
                <w:spacing w:val="-6"/>
                <w:sz w:val="28"/>
                <w:szCs w:val="28"/>
              </w:rPr>
              <w:t xml:space="preserve">от </w:t>
            </w:r>
            <w:r w:rsidR="00D92877" w:rsidRPr="003B0C88">
              <w:rPr>
                <w:spacing w:val="-6"/>
                <w:sz w:val="28"/>
                <w:szCs w:val="28"/>
              </w:rPr>
              <w:t>09</w:t>
            </w:r>
            <w:r w:rsidR="00C60702" w:rsidRPr="003B0C88">
              <w:rPr>
                <w:spacing w:val="-6"/>
                <w:sz w:val="28"/>
                <w:szCs w:val="28"/>
              </w:rPr>
              <w:t>.</w:t>
            </w:r>
            <w:r w:rsidR="00D92877" w:rsidRPr="003B0C88">
              <w:rPr>
                <w:spacing w:val="-6"/>
                <w:sz w:val="28"/>
                <w:szCs w:val="28"/>
              </w:rPr>
              <w:t>12</w:t>
            </w:r>
            <w:r w:rsidRPr="003B0C88">
              <w:rPr>
                <w:spacing w:val="-6"/>
                <w:sz w:val="28"/>
                <w:szCs w:val="28"/>
              </w:rPr>
              <w:t>.201</w:t>
            </w:r>
            <w:r w:rsidR="00C60702" w:rsidRPr="003B0C88">
              <w:rPr>
                <w:spacing w:val="-6"/>
                <w:sz w:val="28"/>
                <w:szCs w:val="28"/>
              </w:rPr>
              <w:t xml:space="preserve">9 № </w:t>
            </w:r>
            <w:r w:rsidR="00D92877" w:rsidRPr="003B0C88">
              <w:rPr>
                <w:spacing w:val="-6"/>
                <w:sz w:val="28"/>
                <w:szCs w:val="28"/>
              </w:rPr>
              <w:t>23</w:t>
            </w:r>
            <w:r w:rsidR="000F08CE" w:rsidRPr="003B0C88">
              <w:rPr>
                <w:spacing w:val="-6"/>
                <w:sz w:val="28"/>
                <w:szCs w:val="28"/>
              </w:rPr>
              <w:t>1</w:t>
            </w:r>
            <w:r w:rsidRPr="003B0C88">
              <w:rPr>
                <w:spacing w:val="-6"/>
                <w:sz w:val="28"/>
                <w:szCs w:val="28"/>
              </w:rPr>
              <w:t>-П</w:t>
            </w:r>
            <w:r w:rsidR="00475674" w:rsidRPr="00475674">
              <w:rPr>
                <w:sz w:val="28"/>
                <w:szCs w:val="28"/>
              </w:rPr>
              <w:t xml:space="preserve"> </w:t>
            </w:r>
            <w:r w:rsidR="00A65E7E">
              <w:rPr>
                <w:sz w:val="28"/>
                <w:szCs w:val="28"/>
              </w:rPr>
              <w:t xml:space="preserve">«О включении выявленного объекта культурного наследия </w:t>
            </w:r>
            <w:r w:rsidR="00475674">
              <w:rPr>
                <w:sz w:val="28"/>
                <w:szCs w:val="28"/>
              </w:rPr>
              <w:t>«</w:t>
            </w:r>
            <w:r w:rsidR="000F08CE">
              <w:rPr>
                <w:sz w:val="28"/>
                <w:szCs w:val="28"/>
              </w:rPr>
              <w:t xml:space="preserve">Жилой дом, конец </w:t>
            </w:r>
            <w:r w:rsidR="000F08CE">
              <w:rPr>
                <w:sz w:val="28"/>
                <w:szCs w:val="28"/>
                <w:lang w:val="en-US"/>
              </w:rPr>
              <w:t>XIX</w:t>
            </w:r>
            <w:r w:rsidR="000F08CE">
              <w:rPr>
                <w:sz w:val="28"/>
                <w:szCs w:val="28"/>
              </w:rPr>
              <w:t xml:space="preserve"> – начало </w:t>
            </w:r>
            <w:r w:rsidR="000F08CE">
              <w:rPr>
                <w:sz w:val="28"/>
                <w:szCs w:val="28"/>
                <w:lang w:val="en-US"/>
              </w:rPr>
              <w:t>XX</w:t>
            </w:r>
            <w:r w:rsidR="000F08CE">
              <w:rPr>
                <w:sz w:val="28"/>
                <w:szCs w:val="28"/>
              </w:rPr>
              <w:t xml:space="preserve"> вв.</w:t>
            </w:r>
            <w:r w:rsidR="00FA4A4D">
              <w:rPr>
                <w:sz w:val="28"/>
                <w:szCs w:val="28"/>
              </w:rPr>
              <w:t>»</w:t>
            </w:r>
            <w:r w:rsidR="00A65E7E">
              <w:rPr>
                <w:sz w:val="28"/>
                <w:szCs w:val="28"/>
              </w:rPr>
              <w:t xml:space="preserve"> по адресу: Республика Татарстан, Алькеевский район, с. Базарные Матаки, ул. Ленина, д. 2,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дом, конец </w:t>
            </w:r>
            <w:r w:rsidR="00A65E7E">
              <w:rPr>
                <w:sz w:val="28"/>
                <w:szCs w:val="28"/>
                <w:lang w:val="en-US"/>
              </w:rPr>
              <w:t>XIX</w:t>
            </w:r>
            <w:r w:rsidR="00A65E7E" w:rsidRPr="00A65E7E">
              <w:rPr>
                <w:sz w:val="28"/>
                <w:szCs w:val="28"/>
              </w:rPr>
              <w:t xml:space="preserve"> </w:t>
            </w:r>
            <w:r w:rsidR="00A65E7E">
              <w:rPr>
                <w:sz w:val="28"/>
                <w:szCs w:val="28"/>
              </w:rPr>
              <w:t>–</w:t>
            </w:r>
            <w:r w:rsidR="00A65E7E" w:rsidRPr="00A65E7E">
              <w:rPr>
                <w:sz w:val="28"/>
                <w:szCs w:val="28"/>
              </w:rPr>
              <w:t xml:space="preserve"> </w:t>
            </w:r>
            <w:r w:rsidR="00A65E7E">
              <w:rPr>
                <w:sz w:val="28"/>
                <w:szCs w:val="28"/>
              </w:rPr>
              <w:t xml:space="preserve">начало </w:t>
            </w:r>
            <w:r w:rsidR="00A65E7E">
              <w:rPr>
                <w:sz w:val="28"/>
                <w:szCs w:val="28"/>
                <w:lang w:val="en-US"/>
              </w:rPr>
              <w:t>XX</w:t>
            </w:r>
            <w:r w:rsidR="00A65E7E" w:rsidRPr="00A65E7E">
              <w:rPr>
                <w:sz w:val="28"/>
                <w:szCs w:val="28"/>
              </w:rPr>
              <w:t xml:space="preserve"> </w:t>
            </w:r>
            <w:r w:rsidR="00A65E7E">
              <w:rPr>
                <w:sz w:val="28"/>
                <w:szCs w:val="28"/>
              </w:rPr>
              <w:t xml:space="preserve">вв.», утверждении предмета охраны, границ </w:t>
            </w:r>
            <w:r w:rsidR="006E0E6F">
              <w:rPr>
                <w:sz w:val="28"/>
                <w:szCs w:val="28"/>
              </w:rPr>
              <w:br/>
            </w:r>
            <w:r w:rsidR="00A65E7E">
              <w:rPr>
                <w:sz w:val="28"/>
                <w:szCs w:val="28"/>
              </w:rPr>
              <w:t>и режимов использования территории объекта культурного наследия»</w:t>
            </w:r>
          </w:p>
          <w:p w14:paraId="0E29F9E4" w14:textId="77777777" w:rsidR="001C5F00" w:rsidRDefault="001C5F00" w:rsidP="00DA4151">
            <w:pPr>
              <w:pStyle w:val="ConsPlusNonformat"/>
              <w:spacing w:line="235" w:lineRule="auto"/>
              <w:ind w:right="5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F9BEBC" w14:textId="49221CEB" w:rsidR="00CC2ED8" w:rsidRDefault="00CC2ED8" w:rsidP="00DA4151">
      <w:pPr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673E72">
        <w:rPr>
          <w:sz w:val="28"/>
          <w:szCs w:val="28"/>
        </w:rPr>
        <w:t xml:space="preserve">в </w:t>
      </w:r>
      <w:r w:rsidR="00E32A4E">
        <w:rPr>
          <w:sz w:val="28"/>
          <w:szCs w:val="28"/>
        </w:rPr>
        <w:t xml:space="preserve">приказ </w:t>
      </w:r>
      <w:r w:rsidR="00E32A4E" w:rsidRPr="00AD1582">
        <w:rPr>
          <w:sz w:val="28"/>
          <w:szCs w:val="28"/>
        </w:rPr>
        <w:t>Комитета Республики Татарстан по охране объектов культурного наследия</w:t>
      </w:r>
      <w:r w:rsidR="00475674">
        <w:rPr>
          <w:sz w:val="28"/>
          <w:szCs w:val="28"/>
        </w:rPr>
        <w:t xml:space="preserve"> </w:t>
      </w:r>
      <w:r w:rsidR="00E32A4E" w:rsidRPr="00AD1582">
        <w:rPr>
          <w:sz w:val="28"/>
          <w:szCs w:val="28"/>
        </w:rPr>
        <w:t xml:space="preserve">от </w:t>
      </w:r>
      <w:r w:rsidR="00FA4A4D">
        <w:rPr>
          <w:spacing w:val="-6"/>
          <w:sz w:val="28"/>
          <w:szCs w:val="28"/>
        </w:rPr>
        <w:t>09</w:t>
      </w:r>
      <w:r w:rsidR="00FA4A4D" w:rsidRPr="002E1E19">
        <w:rPr>
          <w:sz w:val="28"/>
          <w:szCs w:val="28"/>
        </w:rPr>
        <w:t>.</w:t>
      </w:r>
      <w:r w:rsidR="00FA4A4D">
        <w:rPr>
          <w:sz w:val="28"/>
          <w:szCs w:val="28"/>
        </w:rPr>
        <w:t>12</w:t>
      </w:r>
      <w:r w:rsidR="00FA4A4D" w:rsidRPr="002E1E19">
        <w:rPr>
          <w:sz w:val="28"/>
          <w:szCs w:val="28"/>
        </w:rPr>
        <w:t xml:space="preserve">.2019 № </w:t>
      </w:r>
      <w:r w:rsidR="00FA4A4D">
        <w:rPr>
          <w:sz w:val="28"/>
          <w:szCs w:val="28"/>
        </w:rPr>
        <w:t>23</w:t>
      </w:r>
      <w:r w:rsidR="000F08CE">
        <w:rPr>
          <w:sz w:val="28"/>
          <w:szCs w:val="28"/>
        </w:rPr>
        <w:t>1</w:t>
      </w:r>
      <w:r w:rsidR="00FA4A4D" w:rsidRPr="002E1E19">
        <w:rPr>
          <w:sz w:val="28"/>
          <w:szCs w:val="28"/>
        </w:rPr>
        <w:t>-П</w:t>
      </w:r>
      <w:r w:rsidR="00FA4A4D" w:rsidRPr="00475674">
        <w:rPr>
          <w:sz w:val="28"/>
          <w:szCs w:val="28"/>
        </w:rPr>
        <w:t xml:space="preserve"> </w:t>
      </w:r>
      <w:r w:rsidR="00A65E7E">
        <w:rPr>
          <w:sz w:val="28"/>
          <w:szCs w:val="28"/>
        </w:rPr>
        <w:t xml:space="preserve">«О включении выявленного объекта культурного наследия «Жилой дом, конец </w:t>
      </w:r>
      <w:r w:rsidR="00A65E7E">
        <w:rPr>
          <w:sz w:val="28"/>
          <w:szCs w:val="28"/>
          <w:lang w:val="en-US"/>
        </w:rPr>
        <w:t>XIX</w:t>
      </w:r>
      <w:r w:rsidR="00A65E7E">
        <w:rPr>
          <w:sz w:val="28"/>
          <w:szCs w:val="28"/>
        </w:rPr>
        <w:t xml:space="preserve"> – начало </w:t>
      </w:r>
      <w:r w:rsidR="00A65E7E">
        <w:rPr>
          <w:sz w:val="28"/>
          <w:szCs w:val="28"/>
          <w:lang w:val="en-US"/>
        </w:rPr>
        <w:t>XX</w:t>
      </w:r>
      <w:r w:rsidR="00A65E7E">
        <w:rPr>
          <w:sz w:val="28"/>
          <w:szCs w:val="28"/>
        </w:rPr>
        <w:t xml:space="preserve"> вв.» по адресу: Республика Татарстан, Алькеевский район, с. Базарные Матаки, ул. Ленина, д. 2, </w:t>
      </w:r>
      <w:r w:rsidR="003B0C88">
        <w:rPr>
          <w:sz w:val="28"/>
          <w:szCs w:val="28"/>
        </w:rPr>
        <w:br/>
      </w:r>
      <w:r w:rsidR="00A65E7E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дом, конец </w:t>
      </w:r>
      <w:r w:rsidR="00A65E7E">
        <w:rPr>
          <w:sz w:val="28"/>
          <w:szCs w:val="28"/>
          <w:lang w:val="en-US"/>
        </w:rPr>
        <w:t>XIX</w:t>
      </w:r>
      <w:r w:rsidR="00A65E7E" w:rsidRPr="00A65E7E">
        <w:rPr>
          <w:sz w:val="28"/>
          <w:szCs w:val="28"/>
        </w:rPr>
        <w:t xml:space="preserve"> </w:t>
      </w:r>
      <w:r w:rsidR="00A65E7E">
        <w:rPr>
          <w:sz w:val="28"/>
          <w:szCs w:val="28"/>
        </w:rPr>
        <w:t>–</w:t>
      </w:r>
      <w:r w:rsidR="00A65E7E" w:rsidRPr="00A65E7E">
        <w:rPr>
          <w:sz w:val="28"/>
          <w:szCs w:val="28"/>
        </w:rPr>
        <w:t xml:space="preserve"> </w:t>
      </w:r>
      <w:r w:rsidR="00A65E7E">
        <w:rPr>
          <w:sz w:val="28"/>
          <w:szCs w:val="28"/>
        </w:rPr>
        <w:t xml:space="preserve">начало </w:t>
      </w:r>
      <w:r w:rsidR="00A65E7E">
        <w:rPr>
          <w:sz w:val="28"/>
          <w:szCs w:val="28"/>
          <w:lang w:val="en-US"/>
        </w:rPr>
        <w:t>XX</w:t>
      </w:r>
      <w:r w:rsidR="00A65E7E" w:rsidRPr="00A65E7E">
        <w:rPr>
          <w:sz w:val="28"/>
          <w:szCs w:val="28"/>
        </w:rPr>
        <w:t xml:space="preserve"> </w:t>
      </w:r>
      <w:r w:rsidR="00A65E7E">
        <w:rPr>
          <w:sz w:val="28"/>
          <w:szCs w:val="28"/>
        </w:rPr>
        <w:t xml:space="preserve">вв.», утверждении предмета охраны, границ и режимов использования территории объекта культурного наследия», </w:t>
      </w:r>
      <w:r w:rsidRPr="00673E72">
        <w:rPr>
          <w:sz w:val="28"/>
          <w:szCs w:val="28"/>
        </w:rPr>
        <w:t>следующие изменения:</w:t>
      </w:r>
    </w:p>
    <w:p w14:paraId="7A6BD3BD" w14:textId="4161D86E" w:rsidR="00DA4151" w:rsidRPr="00DA4151" w:rsidRDefault="00475674" w:rsidP="00DA4151">
      <w:pPr>
        <w:adjustRightInd w:val="0"/>
        <w:spacing w:line="235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наименовании </w:t>
      </w:r>
      <w:r w:rsidR="008A267C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слова </w:t>
      </w:r>
      <w:r w:rsidR="00DA4151">
        <w:rPr>
          <w:sz w:val="28"/>
          <w:szCs w:val="28"/>
        </w:rPr>
        <w:t xml:space="preserve">«по адресу» заменить словами «расположенного по адресу», слова «значения «Жилой дом, конец </w:t>
      </w:r>
      <w:r w:rsidR="00DA4151">
        <w:rPr>
          <w:sz w:val="28"/>
          <w:szCs w:val="28"/>
          <w:lang w:val="en-US"/>
        </w:rPr>
        <w:t>XIX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–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 xml:space="preserve">начало </w:t>
      </w:r>
      <w:r w:rsidR="00DA4151">
        <w:rPr>
          <w:sz w:val="28"/>
          <w:szCs w:val="28"/>
          <w:lang w:val="en-US"/>
        </w:rPr>
        <w:t>XX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вв.</w:t>
      </w:r>
      <w:r w:rsidR="00DA4151">
        <w:rPr>
          <w:rFonts w:eastAsiaTheme="minorHAnsi"/>
          <w:sz w:val="28"/>
          <w:szCs w:val="28"/>
          <w:lang w:eastAsia="en-US"/>
        </w:rPr>
        <w:t>"</w:t>
      </w:r>
      <w:r w:rsidR="00DA4151">
        <w:rPr>
          <w:sz w:val="28"/>
          <w:szCs w:val="28"/>
        </w:rPr>
        <w:t xml:space="preserve">» заменить словами «значения «Жилой дом», конец </w:t>
      </w:r>
      <w:r w:rsidR="00DA4151">
        <w:rPr>
          <w:sz w:val="28"/>
          <w:szCs w:val="28"/>
          <w:lang w:val="en-US"/>
        </w:rPr>
        <w:t>XIX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–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 xml:space="preserve">начало </w:t>
      </w:r>
      <w:r w:rsidR="00DA4151">
        <w:rPr>
          <w:sz w:val="28"/>
          <w:szCs w:val="28"/>
          <w:lang w:val="en-US"/>
        </w:rPr>
        <w:t>XX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вв.»;</w:t>
      </w:r>
    </w:p>
    <w:p w14:paraId="12B2F4BA" w14:textId="07A83B13" w:rsidR="008A267C" w:rsidRDefault="008A267C" w:rsidP="00DA4151">
      <w:pPr>
        <w:tabs>
          <w:tab w:val="left" w:pos="993"/>
        </w:tabs>
        <w:spacing w:line="235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тексте приказа, а также наименованиях и текстах приложений к приказу </w:t>
      </w:r>
      <w:r w:rsidR="00DA4151">
        <w:rPr>
          <w:sz w:val="28"/>
          <w:szCs w:val="28"/>
        </w:rPr>
        <w:t xml:space="preserve">слова «значения «Жилой дом, конец </w:t>
      </w:r>
      <w:r w:rsidR="00DA4151">
        <w:rPr>
          <w:sz w:val="28"/>
          <w:szCs w:val="28"/>
          <w:lang w:val="en-US"/>
        </w:rPr>
        <w:t>XIX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–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 xml:space="preserve">начало </w:t>
      </w:r>
      <w:r w:rsidR="00DA4151">
        <w:rPr>
          <w:sz w:val="28"/>
          <w:szCs w:val="28"/>
          <w:lang w:val="en-US"/>
        </w:rPr>
        <w:t>XX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вв.</w:t>
      </w:r>
      <w:r w:rsidR="00DA4151">
        <w:rPr>
          <w:rFonts w:eastAsiaTheme="minorHAnsi"/>
          <w:sz w:val="28"/>
          <w:szCs w:val="28"/>
          <w:lang w:eastAsia="en-US"/>
        </w:rPr>
        <w:t>"</w:t>
      </w:r>
      <w:r w:rsidR="00DA4151">
        <w:rPr>
          <w:sz w:val="28"/>
          <w:szCs w:val="28"/>
        </w:rPr>
        <w:t xml:space="preserve">» заменить словами «значения «Жилой дом», конец </w:t>
      </w:r>
      <w:r w:rsidR="00DA4151">
        <w:rPr>
          <w:sz w:val="28"/>
          <w:szCs w:val="28"/>
          <w:lang w:val="en-US"/>
        </w:rPr>
        <w:t>XIX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–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 xml:space="preserve">начало </w:t>
      </w:r>
      <w:r w:rsidR="00DA4151">
        <w:rPr>
          <w:sz w:val="28"/>
          <w:szCs w:val="28"/>
          <w:lang w:val="en-US"/>
        </w:rPr>
        <w:t>XX</w:t>
      </w:r>
      <w:r w:rsidR="00DA4151" w:rsidRPr="00A65E7E">
        <w:rPr>
          <w:sz w:val="28"/>
          <w:szCs w:val="28"/>
        </w:rPr>
        <w:t xml:space="preserve"> </w:t>
      </w:r>
      <w:r w:rsidR="00DA4151">
        <w:rPr>
          <w:sz w:val="28"/>
          <w:szCs w:val="28"/>
        </w:rPr>
        <w:t>вв.»</w:t>
      </w:r>
      <w:r>
        <w:rPr>
          <w:sz w:val="28"/>
          <w:szCs w:val="28"/>
        </w:rPr>
        <w:t>.</w:t>
      </w:r>
    </w:p>
    <w:p w14:paraId="62AC4775" w14:textId="39D3F035" w:rsidR="00E24342" w:rsidRPr="00707F29" w:rsidRDefault="00B511F8" w:rsidP="00DA4151">
      <w:pPr>
        <w:tabs>
          <w:tab w:val="left" w:pos="993"/>
        </w:tabs>
        <w:spacing w:line="235" w:lineRule="auto"/>
        <w:ind w:right="-1" w:firstLine="708"/>
        <w:jc w:val="both"/>
        <w:rPr>
          <w:sz w:val="28"/>
          <w:szCs w:val="28"/>
        </w:rPr>
      </w:pPr>
      <w:r w:rsidRPr="008534FE">
        <w:rPr>
          <w:sz w:val="28"/>
          <w:szCs w:val="28"/>
        </w:rPr>
        <w:t>2</w:t>
      </w:r>
      <w:r w:rsidRPr="00707F29">
        <w:rPr>
          <w:sz w:val="28"/>
          <w:szCs w:val="28"/>
        </w:rPr>
        <w:t xml:space="preserve">. </w:t>
      </w:r>
      <w:r w:rsidR="00707F29" w:rsidRPr="00707F29">
        <w:rPr>
          <w:sz w:val="28"/>
          <w:szCs w:val="28"/>
        </w:rPr>
        <w:t>Контроль за исполнением настоящего приказа оставляю за собой</w:t>
      </w:r>
      <w:r w:rsidR="00DF4D1A" w:rsidRPr="00707F29">
        <w:rPr>
          <w:sz w:val="28"/>
          <w:szCs w:val="28"/>
        </w:rPr>
        <w:t>.</w:t>
      </w:r>
    </w:p>
    <w:p w14:paraId="063E38BC" w14:textId="77777777" w:rsidR="00E24342" w:rsidRPr="00DA4151" w:rsidRDefault="00E24342" w:rsidP="00DA4151">
      <w:pPr>
        <w:spacing w:line="235" w:lineRule="auto"/>
        <w:ind w:right="-1" w:firstLine="709"/>
        <w:jc w:val="both"/>
        <w:rPr>
          <w:sz w:val="22"/>
          <w:szCs w:val="28"/>
        </w:rPr>
      </w:pPr>
    </w:p>
    <w:p w14:paraId="1C1346FC" w14:textId="77777777" w:rsidR="00E24342" w:rsidRPr="00DA4151" w:rsidRDefault="00E24342" w:rsidP="00DA4151">
      <w:pPr>
        <w:spacing w:line="235" w:lineRule="auto"/>
        <w:ind w:right="-1" w:firstLine="709"/>
        <w:jc w:val="both"/>
        <w:rPr>
          <w:sz w:val="22"/>
          <w:szCs w:val="28"/>
        </w:rPr>
      </w:pPr>
    </w:p>
    <w:p w14:paraId="2A96FE5A" w14:textId="074C438A" w:rsidR="00526745" w:rsidRDefault="000A1E2B" w:rsidP="00DA4151">
      <w:pPr>
        <w:autoSpaceDE/>
        <w:autoSpaceDN/>
        <w:spacing w:line="235" w:lineRule="auto"/>
        <w:ind w:right="2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2F54A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8E787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И.Н. Гущин</w:t>
      </w:r>
    </w:p>
    <w:p w14:paraId="13C7A727" w14:textId="6D644879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B3D4AD6" w14:textId="396CB767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1AC4C515" w14:textId="09C9883B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137BEB7F" w14:textId="1406131F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481857A4" w14:textId="68E6FE13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00AE1465" w14:textId="315112FA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0E51C1B6" w14:textId="71812DA1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03C07F20" w14:textId="0AD9B3A3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5CCD32DA" w14:textId="4724CFB4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6A41058E" w14:textId="5B7EF845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107472F" w14:textId="7F42A0ED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A248F8C" w14:textId="27A3B39F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4E2E925C" w14:textId="6BB1A4B7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190903C2" w14:textId="09E1E5F3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A3F3ECB" w14:textId="2758CF55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1516C4B3" w14:textId="2584D22F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3800FAA" w14:textId="12E5EE9D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19FFA845" w14:textId="7FE7317C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63625AC1" w14:textId="4F408FEE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ADE73ED" w14:textId="43123C77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2DA67454" w14:textId="65C97ED9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E143DD8" w14:textId="699580B3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27774F56" w14:textId="272B56D5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44AEF2E2" w14:textId="06A8A936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0F703FAE" w14:textId="6047BF7D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B8A10FA" w14:textId="3ABA163F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0FF4370C" w14:textId="26F077C4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22F5AB7" w14:textId="1DB80762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7FFF978" w14:textId="72123347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3F461DF5" w14:textId="7FF820E2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6D1278FB" w14:textId="78B83130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4D43EFF4" w14:textId="425944AC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5AC5CF0" w14:textId="707656F3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06F29A8C" w14:textId="241FA07D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6C5C94A7" w14:textId="36BFC22E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5892DC2" w14:textId="2AAD5D85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57E97C79" w14:textId="335920E6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7D4FE374" w14:textId="7CD5D96A" w:rsidR="0061789D" w:rsidRDefault="0061789D" w:rsidP="00DA4151">
      <w:pPr>
        <w:autoSpaceDE/>
        <w:autoSpaceDN/>
        <w:spacing w:line="235" w:lineRule="auto"/>
        <w:ind w:right="2"/>
        <w:rPr>
          <w:sz w:val="28"/>
          <w:szCs w:val="28"/>
        </w:rPr>
      </w:pPr>
    </w:p>
    <w:p w14:paraId="1EFE6A65" w14:textId="77777777" w:rsidR="0061789D" w:rsidRDefault="0061789D" w:rsidP="00DA4151">
      <w:pPr>
        <w:autoSpaceDE/>
        <w:autoSpaceDN/>
        <w:spacing w:line="235" w:lineRule="auto"/>
        <w:ind w:right="2"/>
        <w:rPr>
          <w:color w:val="000000"/>
          <w:sz w:val="28"/>
          <w:szCs w:val="28"/>
        </w:rPr>
      </w:pPr>
    </w:p>
    <w:sectPr w:rsidR="0061789D" w:rsidSect="00187C0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156B" w14:textId="77777777" w:rsidR="00F11BF2" w:rsidRDefault="00F11BF2">
      <w:r>
        <w:separator/>
      </w:r>
    </w:p>
  </w:endnote>
  <w:endnote w:type="continuationSeparator" w:id="0">
    <w:p w14:paraId="2FED493B" w14:textId="77777777" w:rsidR="00F11BF2" w:rsidRDefault="00F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ABB60" w14:textId="77777777" w:rsidR="00F11BF2" w:rsidRDefault="00F11BF2">
      <w:r>
        <w:separator/>
      </w:r>
    </w:p>
  </w:footnote>
  <w:footnote w:type="continuationSeparator" w:id="0">
    <w:p w14:paraId="5DDF1725" w14:textId="77777777" w:rsidR="00F11BF2" w:rsidRDefault="00F1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8909115"/>
      <w:docPartObj>
        <w:docPartGallery w:val="Page Numbers (Top of Page)"/>
        <w:docPartUnique/>
      </w:docPartObj>
    </w:sdtPr>
    <w:sdtEndPr/>
    <w:sdtContent>
      <w:p w14:paraId="0BB8C5C2" w14:textId="39BF2308" w:rsidR="002E1E19" w:rsidRDefault="002E1E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09">
          <w:rPr>
            <w:noProof/>
          </w:rPr>
          <w:t>2</w:t>
        </w:r>
        <w:r>
          <w:fldChar w:fldCharType="end"/>
        </w:r>
      </w:p>
    </w:sdtContent>
  </w:sdt>
  <w:p w14:paraId="4A876B55" w14:textId="77777777" w:rsidR="00707F29" w:rsidRDefault="00707F29" w:rsidP="00707F29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00E"/>
    <w:rsid w:val="00005E5D"/>
    <w:rsid w:val="00013B29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08CE"/>
    <w:rsid w:val="000F2263"/>
    <w:rsid w:val="00101B5E"/>
    <w:rsid w:val="0010579F"/>
    <w:rsid w:val="001266FF"/>
    <w:rsid w:val="00130082"/>
    <w:rsid w:val="001318DC"/>
    <w:rsid w:val="00131B4B"/>
    <w:rsid w:val="00131DB2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87C09"/>
    <w:rsid w:val="00192758"/>
    <w:rsid w:val="001935BE"/>
    <w:rsid w:val="001958FA"/>
    <w:rsid w:val="00196A06"/>
    <w:rsid w:val="001A7BA4"/>
    <w:rsid w:val="001B0413"/>
    <w:rsid w:val="001B63B6"/>
    <w:rsid w:val="001C57FC"/>
    <w:rsid w:val="001C5F00"/>
    <w:rsid w:val="001E1262"/>
    <w:rsid w:val="001E1D14"/>
    <w:rsid w:val="001E4D5B"/>
    <w:rsid w:val="00200AA0"/>
    <w:rsid w:val="0020532B"/>
    <w:rsid w:val="0021183C"/>
    <w:rsid w:val="00211872"/>
    <w:rsid w:val="00232A59"/>
    <w:rsid w:val="00232EC1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E1E19"/>
    <w:rsid w:val="002F4A29"/>
    <w:rsid w:val="002F5339"/>
    <w:rsid w:val="00304360"/>
    <w:rsid w:val="003060C9"/>
    <w:rsid w:val="00314069"/>
    <w:rsid w:val="003253FA"/>
    <w:rsid w:val="0032752A"/>
    <w:rsid w:val="00332617"/>
    <w:rsid w:val="003340E2"/>
    <w:rsid w:val="00346978"/>
    <w:rsid w:val="00355B25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0C88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75674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C4C8D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1721F"/>
    <w:rsid w:val="0061789D"/>
    <w:rsid w:val="00622B12"/>
    <w:rsid w:val="006319FB"/>
    <w:rsid w:val="00642C0A"/>
    <w:rsid w:val="006468A7"/>
    <w:rsid w:val="00651D4E"/>
    <w:rsid w:val="00657876"/>
    <w:rsid w:val="00663995"/>
    <w:rsid w:val="006772E2"/>
    <w:rsid w:val="00692834"/>
    <w:rsid w:val="00693F48"/>
    <w:rsid w:val="00696569"/>
    <w:rsid w:val="006A0707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0E6F"/>
    <w:rsid w:val="006E7BBB"/>
    <w:rsid w:val="00707F29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E5FBC"/>
    <w:rsid w:val="007F758A"/>
    <w:rsid w:val="00802B1F"/>
    <w:rsid w:val="00803654"/>
    <w:rsid w:val="00812BC3"/>
    <w:rsid w:val="0081324C"/>
    <w:rsid w:val="00824315"/>
    <w:rsid w:val="00832AEC"/>
    <w:rsid w:val="00851900"/>
    <w:rsid w:val="008534FE"/>
    <w:rsid w:val="00854B2A"/>
    <w:rsid w:val="00867F55"/>
    <w:rsid w:val="008715AA"/>
    <w:rsid w:val="00873B99"/>
    <w:rsid w:val="00877054"/>
    <w:rsid w:val="00880171"/>
    <w:rsid w:val="00890E16"/>
    <w:rsid w:val="00891884"/>
    <w:rsid w:val="00892788"/>
    <w:rsid w:val="008A2449"/>
    <w:rsid w:val="008A267C"/>
    <w:rsid w:val="008B4275"/>
    <w:rsid w:val="008C7CF4"/>
    <w:rsid w:val="008D1770"/>
    <w:rsid w:val="008E35D7"/>
    <w:rsid w:val="008E7878"/>
    <w:rsid w:val="00905227"/>
    <w:rsid w:val="00913A49"/>
    <w:rsid w:val="0092181B"/>
    <w:rsid w:val="00925007"/>
    <w:rsid w:val="00935F86"/>
    <w:rsid w:val="009361B8"/>
    <w:rsid w:val="00936AEE"/>
    <w:rsid w:val="00947AF0"/>
    <w:rsid w:val="0095471A"/>
    <w:rsid w:val="0097302F"/>
    <w:rsid w:val="00974FFB"/>
    <w:rsid w:val="00980595"/>
    <w:rsid w:val="00982517"/>
    <w:rsid w:val="009871EF"/>
    <w:rsid w:val="009A41AD"/>
    <w:rsid w:val="009A5359"/>
    <w:rsid w:val="009A7138"/>
    <w:rsid w:val="009B0603"/>
    <w:rsid w:val="009D27A2"/>
    <w:rsid w:val="009D71A1"/>
    <w:rsid w:val="009E151C"/>
    <w:rsid w:val="009E51AD"/>
    <w:rsid w:val="009F15E1"/>
    <w:rsid w:val="00A06943"/>
    <w:rsid w:val="00A10049"/>
    <w:rsid w:val="00A1038F"/>
    <w:rsid w:val="00A122B3"/>
    <w:rsid w:val="00A1484A"/>
    <w:rsid w:val="00A16F31"/>
    <w:rsid w:val="00A253A8"/>
    <w:rsid w:val="00A256C9"/>
    <w:rsid w:val="00A265F7"/>
    <w:rsid w:val="00A318E7"/>
    <w:rsid w:val="00A57735"/>
    <w:rsid w:val="00A60822"/>
    <w:rsid w:val="00A650E0"/>
    <w:rsid w:val="00A65E7E"/>
    <w:rsid w:val="00A843CE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44772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0702"/>
    <w:rsid w:val="00C614EB"/>
    <w:rsid w:val="00C61FE7"/>
    <w:rsid w:val="00C64470"/>
    <w:rsid w:val="00C7003C"/>
    <w:rsid w:val="00C70097"/>
    <w:rsid w:val="00C70AB1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55AC7"/>
    <w:rsid w:val="00D64272"/>
    <w:rsid w:val="00D650EA"/>
    <w:rsid w:val="00D84D06"/>
    <w:rsid w:val="00D87123"/>
    <w:rsid w:val="00D9017D"/>
    <w:rsid w:val="00D90375"/>
    <w:rsid w:val="00D92877"/>
    <w:rsid w:val="00D94024"/>
    <w:rsid w:val="00DA03E1"/>
    <w:rsid w:val="00DA4151"/>
    <w:rsid w:val="00DC0FFB"/>
    <w:rsid w:val="00DC6B18"/>
    <w:rsid w:val="00DC6C4B"/>
    <w:rsid w:val="00DD1E0F"/>
    <w:rsid w:val="00DD1F5D"/>
    <w:rsid w:val="00DD2EAB"/>
    <w:rsid w:val="00DF4C4A"/>
    <w:rsid w:val="00DF4D1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0871"/>
    <w:rsid w:val="00E540B1"/>
    <w:rsid w:val="00E56A21"/>
    <w:rsid w:val="00E610FB"/>
    <w:rsid w:val="00E660A7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EF4FFF"/>
    <w:rsid w:val="00F00108"/>
    <w:rsid w:val="00F07377"/>
    <w:rsid w:val="00F11BF2"/>
    <w:rsid w:val="00F14223"/>
    <w:rsid w:val="00F21A06"/>
    <w:rsid w:val="00F263CB"/>
    <w:rsid w:val="00F35656"/>
    <w:rsid w:val="00F40257"/>
    <w:rsid w:val="00F41F92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A4A4D"/>
    <w:rsid w:val="00FB3874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875682"/>
  <w15:docId w15:val="{29CF6EB1-FA11-4814-8B0B-05A4FC0C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1E02-44AA-4D83-81FE-1E1906F0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7</cp:revision>
  <cp:lastPrinted>2023-11-15T09:09:00Z</cp:lastPrinted>
  <dcterms:created xsi:type="dcterms:W3CDTF">2024-06-25T14:09:00Z</dcterms:created>
  <dcterms:modified xsi:type="dcterms:W3CDTF">2024-07-04T13:19:00Z</dcterms:modified>
</cp:coreProperties>
</file>