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67A9A74" w:rsidR="00194F72" w:rsidRPr="00F42035" w:rsidRDefault="00194F72" w:rsidP="00EC3955">
      <w:pPr>
        <w:tabs>
          <w:tab w:val="left" w:pos="2835"/>
          <w:tab w:val="left" w:pos="3544"/>
          <w:tab w:val="left" w:pos="3686"/>
          <w:tab w:val="left" w:pos="4536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EC395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3955">
        <w:rPr>
          <w:rFonts w:eastAsiaTheme="minorHAnsi"/>
          <w:sz w:val="28"/>
          <w:szCs w:val="28"/>
          <w:lang w:eastAsia="en-US"/>
        </w:rPr>
        <w:t>Богдашкинское</w:t>
      </w:r>
      <w:proofErr w:type="spellEnd"/>
      <w:r w:rsidR="00EC3955">
        <w:rPr>
          <w:rFonts w:eastAsiaTheme="minorHAnsi"/>
          <w:sz w:val="28"/>
          <w:szCs w:val="28"/>
          <w:lang w:eastAsia="en-US"/>
        </w:rPr>
        <w:t xml:space="preserve"> городище – центр княжества «</w:t>
      </w:r>
      <w:proofErr w:type="spellStart"/>
      <w:r w:rsidR="00EC3955">
        <w:rPr>
          <w:rFonts w:eastAsiaTheme="minorHAnsi"/>
          <w:sz w:val="28"/>
          <w:szCs w:val="28"/>
          <w:lang w:eastAsia="en-US"/>
        </w:rPr>
        <w:t>Ошель</w:t>
      </w:r>
      <w:proofErr w:type="spellEnd"/>
      <w:r w:rsidR="00EC3955">
        <w:rPr>
          <w:rFonts w:eastAsiaTheme="minorHAnsi"/>
          <w:sz w:val="28"/>
          <w:szCs w:val="28"/>
          <w:lang w:eastAsia="en-US"/>
        </w:rPr>
        <w:t>» Болгарского государства», X – XIII вв</w:t>
      </w:r>
      <w:r w:rsidR="00EC3955" w:rsidRPr="006A1409">
        <w:rPr>
          <w:rFonts w:eastAsiaTheme="minorHAnsi"/>
          <w:sz w:val="28"/>
          <w:szCs w:val="28"/>
          <w:lang w:eastAsia="en-US"/>
        </w:rPr>
        <w:t>. (до 1220 г.),</w:t>
      </w:r>
      <w:bookmarkStart w:id="0" w:name="_GoBack"/>
      <w:bookmarkEnd w:id="0"/>
      <w:r w:rsidR="00EC3955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1AC0CB74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C6ABD0A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C3955">
        <w:rPr>
          <w:sz w:val="28"/>
          <w:szCs w:val="28"/>
        </w:rPr>
        <w:t>«</w:t>
      </w:r>
      <w:proofErr w:type="spellStart"/>
      <w:r w:rsidR="00EC3955">
        <w:rPr>
          <w:sz w:val="28"/>
          <w:szCs w:val="28"/>
        </w:rPr>
        <w:t>Богдашкинское</w:t>
      </w:r>
      <w:proofErr w:type="spellEnd"/>
      <w:r w:rsidR="00EC3955">
        <w:rPr>
          <w:sz w:val="28"/>
          <w:szCs w:val="28"/>
        </w:rPr>
        <w:t xml:space="preserve"> городище – центр княжества «</w:t>
      </w:r>
      <w:proofErr w:type="spellStart"/>
      <w:r w:rsidR="00EC3955">
        <w:rPr>
          <w:sz w:val="28"/>
          <w:szCs w:val="28"/>
        </w:rPr>
        <w:t>Ошель</w:t>
      </w:r>
      <w:proofErr w:type="spellEnd"/>
      <w:r w:rsidR="00EC3955">
        <w:rPr>
          <w:sz w:val="28"/>
          <w:szCs w:val="28"/>
        </w:rPr>
        <w:t xml:space="preserve">» Болгарского государства», </w:t>
      </w:r>
      <w:r w:rsidR="00EC3955">
        <w:rPr>
          <w:sz w:val="28"/>
          <w:szCs w:val="28"/>
        </w:rPr>
        <w:br/>
        <w:t xml:space="preserve">X – XIII вв. (до 1220 г.),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A177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233A538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C3955">
        <w:rPr>
          <w:sz w:val="28"/>
          <w:szCs w:val="28"/>
        </w:rPr>
        <w:t>«</w:t>
      </w:r>
      <w:proofErr w:type="spellStart"/>
      <w:r w:rsidR="00EC3955">
        <w:rPr>
          <w:sz w:val="28"/>
          <w:szCs w:val="28"/>
        </w:rPr>
        <w:t>Богдашкинское</w:t>
      </w:r>
      <w:proofErr w:type="spellEnd"/>
      <w:r w:rsidR="00EC3955">
        <w:rPr>
          <w:sz w:val="28"/>
          <w:szCs w:val="28"/>
        </w:rPr>
        <w:t xml:space="preserve"> городище – центр княжества «</w:t>
      </w:r>
      <w:proofErr w:type="spellStart"/>
      <w:r w:rsidR="00EC3955">
        <w:rPr>
          <w:sz w:val="28"/>
          <w:szCs w:val="28"/>
        </w:rPr>
        <w:t>Ошель</w:t>
      </w:r>
      <w:proofErr w:type="spellEnd"/>
      <w:r w:rsidR="00EC3955">
        <w:rPr>
          <w:sz w:val="28"/>
          <w:szCs w:val="28"/>
        </w:rPr>
        <w:t xml:space="preserve">» Болгарского государства», X – XIII вв. (до 1220 г.), </w:t>
      </w:r>
      <w:r w:rsidR="009E00BB">
        <w:rPr>
          <w:sz w:val="28"/>
          <w:szCs w:val="28"/>
        </w:rPr>
        <w:t xml:space="preserve">расположенного </w:t>
      </w:r>
      <w:r w:rsidR="001B67C9" w:rsidRPr="001B67C9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</w:t>
      </w:r>
      <w:r w:rsidR="009A0540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534C10">
        <w:rPr>
          <w:sz w:val="28"/>
          <w:szCs w:val="28"/>
        </w:rPr>
        <w:t>Председатель</w:t>
      </w:r>
      <w:r w:rsidR="0032618D" w:rsidRPr="00534C10">
        <w:rPr>
          <w:sz w:val="28"/>
          <w:szCs w:val="28"/>
        </w:rPr>
        <w:t xml:space="preserve">                                                                                                        </w:t>
      </w:r>
      <w:r w:rsidRPr="00534C10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534C10">
          <w:headerReference w:type="default" r:id="rId8"/>
          <w:pgSz w:w="11906" w:h="16838"/>
          <w:pgMar w:top="426" w:right="567" w:bottom="426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BC00C96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C395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C3955">
        <w:rPr>
          <w:rFonts w:eastAsiaTheme="minorHAnsi"/>
          <w:sz w:val="28"/>
          <w:szCs w:val="28"/>
          <w:lang w:eastAsia="en-US"/>
        </w:rPr>
        <w:t>Богдашкинское</w:t>
      </w:r>
      <w:proofErr w:type="spellEnd"/>
      <w:r w:rsidR="00EC3955">
        <w:rPr>
          <w:rFonts w:eastAsiaTheme="minorHAnsi"/>
          <w:sz w:val="28"/>
          <w:szCs w:val="28"/>
          <w:lang w:eastAsia="en-US"/>
        </w:rPr>
        <w:t xml:space="preserve"> городище – центр княжества «</w:t>
      </w:r>
      <w:proofErr w:type="spellStart"/>
      <w:r w:rsidR="00EC3955">
        <w:rPr>
          <w:rFonts w:eastAsiaTheme="minorHAnsi"/>
          <w:sz w:val="28"/>
          <w:szCs w:val="28"/>
          <w:lang w:eastAsia="en-US"/>
        </w:rPr>
        <w:t>Ошель</w:t>
      </w:r>
      <w:proofErr w:type="spellEnd"/>
      <w:r w:rsidR="00EC3955">
        <w:rPr>
          <w:rFonts w:eastAsiaTheme="minorHAnsi"/>
          <w:sz w:val="28"/>
          <w:szCs w:val="28"/>
          <w:lang w:eastAsia="en-US"/>
        </w:rPr>
        <w:t xml:space="preserve">» Болгарского государства», </w:t>
      </w:r>
      <w:r w:rsidR="006B65AE">
        <w:rPr>
          <w:rFonts w:eastAsiaTheme="minorHAnsi"/>
          <w:sz w:val="28"/>
          <w:szCs w:val="28"/>
          <w:lang w:eastAsia="en-US"/>
        </w:rPr>
        <w:br/>
      </w:r>
      <w:r w:rsidR="00EC3955">
        <w:rPr>
          <w:rFonts w:eastAsiaTheme="minorHAnsi"/>
          <w:sz w:val="28"/>
          <w:szCs w:val="28"/>
          <w:lang w:eastAsia="en-US"/>
        </w:rPr>
        <w:t>X – XIII вв. (до 1220 г.)</w:t>
      </w:r>
      <w:r w:rsidR="006B65AE">
        <w:rPr>
          <w:rFonts w:eastAsiaTheme="minorHAnsi"/>
          <w:sz w:val="28"/>
          <w:szCs w:val="28"/>
          <w:lang w:eastAsia="en-US"/>
        </w:rPr>
        <w:t xml:space="preserve">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78EA0C2C" w14:textId="48926214" w:rsidR="0035630B" w:rsidRDefault="0035630B" w:rsidP="0035630B">
      <w:pPr>
        <w:ind w:firstLine="709"/>
        <w:jc w:val="both"/>
        <w:rPr>
          <w:sz w:val="28"/>
          <w:szCs w:val="28"/>
        </w:rPr>
      </w:pPr>
      <w:r w:rsidRPr="00016274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</w:t>
      </w:r>
      <w:r>
        <w:rPr>
          <w:noProof/>
          <w:sz w:val="28"/>
          <w:szCs w:val="28"/>
        </w:rPr>
        <w:br/>
      </w:r>
      <w:r w:rsidRPr="00016274">
        <w:rPr>
          <w:noProof/>
          <w:sz w:val="28"/>
          <w:szCs w:val="28"/>
        </w:rPr>
        <w:t>№ 73-ФЗ.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2ABACD8D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  <w:r w:rsidR="0035630B">
        <w:rPr>
          <w:sz w:val="28"/>
          <w:szCs w:val="28"/>
        </w:rPr>
        <w:br/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2C847" w14:textId="77777777" w:rsidR="00A33FD7" w:rsidRDefault="00A33FD7" w:rsidP="000D04A5">
      <w:r>
        <w:separator/>
      </w:r>
    </w:p>
  </w:endnote>
  <w:endnote w:type="continuationSeparator" w:id="0">
    <w:p w14:paraId="6C5A21B9" w14:textId="77777777" w:rsidR="00A33FD7" w:rsidRDefault="00A33FD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D6103" w14:textId="77777777" w:rsidR="00A33FD7" w:rsidRDefault="00A33FD7" w:rsidP="000D04A5">
      <w:r>
        <w:separator/>
      </w:r>
    </w:p>
  </w:footnote>
  <w:footnote w:type="continuationSeparator" w:id="0">
    <w:p w14:paraId="0D12D149" w14:textId="77777777" w:rsidR="00A33FD7" w:rsidRDefault="00A33FD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E3AA90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34C1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68AF"/>
    <w:rsid w:val="000A0896"/>
    <w:rsid w:val="000D04A5"/>
    <w:rsid w:val="000D145E"/>
    <w:rsid w:val="000E00BF"/>
    <w:rsid w:val="000E2FB2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A3D"/>
    <w:rsid w:val="004C0D1B"/>
    <w:rsid w:val="004D1576"/>
    <w:rsid w:val="004E102C"/>
    <w:rsid w:val="004F4403"/>
    <w:rsid w:val="00533010"/>
    <w:rsid w:val="00534C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A1409"/>
    <w:rsid w:val="006B65AE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13E24"/>
    <w:rsid w:val="00823564"/>
    <w:rsid w:val="00837ADE"/>
    <w:rsid w:val="00845B5C"/>
    <w:rsid w:val="00851C63"/>
    <w:rsid w:val="00862451"/>
    <w:rsid w:val="00865B92"/>
    <w:rsid w:val="008804CE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33FD7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9F4"/>
    <w:rsid w:val="00E47D46"/>
    <w:rsid w:val="00E52FB4"/>
    <w:rsid w:val="00E77106"/>
    <w:rsid w:val="00E952B5"/>
    <w:rsid w:val="00EA7569"/>
    <w:rsid w:val="00EB3DDE"/>
    <w:rsid w:val="00EC347C"/>
    <w:rsid w:val="00EC3955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173</cp:revision>
  <cp:lastPrinted>2023-10-10T13:22:00Z</cp:lastPrinted>
  <dcterms:created xsi:type="dcterms:W3CDTF">2021-12-07T13:05:00Z</dcterms:created>
  <dcterms:modified xsi:type="dcterms:W3CDTF">2023-10-25T05:14:00Z</dcterms:modified>
</cp:coreProperties>
</file>