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B36B7F">
      <w:pPr>
        <w:tabs>
          <w:tab w:val="left" w:pos="3969"/>
          <w:tab w:val="left" w:pos="4111"/>
          <w:tab w:val="left" w:pos="4678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B36B7F">
        <w:rPr>
          <w:rFonts w:eastAsiaTheme="minorHAnsi"/>
          <w:sz w:val="28"/>
          <w:szCs w:val="28"/>
          <w:lang w:eastAsia="en-US"/>
        </w:rPr>
        <w:t xml:space="preserve"> </w:t>
      </w:r>
      <w:r w:rsidR="0037748D">
        <w:rPr>
          <w:rFonts w:eastAsiaTheme="minorHAnsi"/>
          <w:sz w:val="28"/>
          <w:szCs w:val="28"/>
          <w:lang w:eastAsia="en-US"/>
        </w:rPr>
        <w:t>«</w:t>
      </w:r>
      <w:r w:rsidR="009D401B">
        <w:rPr>
          <w:rFonts w:eastAsiaTheme="minorHAnsi"/>
          <w:sz w:val="28"/>
          <w:szCs w:val="28"/>
          <w:lang w:eastAsia="en-US"/>
        </w:rPr>
        <w:t>Верхне-Атынские надгробия</w:t>
      </w:r>
      <w:r w:rsidR="0037748D">
        <w:rPr>
          <w:rFonts w:eastAsiaTheme="minorHAnsi"/>
          <w:sz w:val="28"/>
          <w:szCs w:val="28"/>
          <w:lang w:eastAsia="en-US"/>
        </w:rPr>
        <w:t>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4C7041">
        <w:rPr>
          <w:sz w:val="28"/>
          <w:szCs w:val="28"/>
        </w:rPr>
        <w:t xml:space="preserve"> </w:t>
      </w:r>
      <w:r w:rsidR="004C7041" w:rsidRPr="004C7041">
        <w:rPr>
          <w:sz w:val="28"/>
          <w:szCs w:val="28"/>
        </w:rPr>
        <w:t>XV – XVI вв. н.э.</w:t>
      </w:r>
      <w:r w:rsidR="004C7041">
        <w:rPr>
          <w:sz w:val="28"/>
          <w:szCs w:val="28"/>
        </w:rPr>
        <w:t>,</w:t>
      </w:r>
      <w:r w:rsidR="00B36B7F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37748D">
        <w:rPr>
          <w:sz w:val="28"/>
          <w:szCs w:val="28"/>
        </w:rPr>
        <w:t>Арском</w:t>
      </w:r>
      <w:r w:rsidR="00B36B7F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37748D">
        <w:rPr>
          <w:rFonts w:eastAsiaTheme="minorHAnsi"/>
          <w:sz w:val="28"/>
          <w:szCs w:val="28"/>
          <w:lang w:eastAsia="en-US"/>
        </w:rPr>
        <w:t>«</w:t>
      </w:r>
      <w:r w:rsidR="009D401B">
        <w:rPr>
          <w:rFonts w:eastAsiaTheme="minorHAnsi"/>
          <w:sz w:val="28"/>
          <w:szCs w:val="28"/>
          <w:lang w:eastAsia="en-US"/>
        </w:rPr>
        <w:t>Верхне-Атынские надгробия</w:t>
      </w:r>
      <w:r w:rsidR="0037748D">
        <w:rPr>
          <w:rFonts w:eastAsiaTheme="minorHAnsi"/>
          <w:sz w:val="28"/>
          <w:szCs w:val="28"/>
          <w:lang w:eastAsia="en-US"/>
        </w:rPr>
        <w:t>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4C7041" w:rsidRPr="004C7041">
        <w:rPr>
          <w:sz w:val="28"/>
          <w:szCs w:val="28"/>
        </w:rPr>
        <w:t xml:space="preserve"> XV – XVI вв. н.э.</w:t>
      </w:r>
      <w:r w:rsidR="004C7041">
        <w:rPr>
          <w:sz w:val="28"/>
          <w:szCs w:val="28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4C7041">
        <w:rPr>
          <w:sz w:val="28"/>
          <w:szCs w:val="28"/>
        </w:rPr>
        <w:br/>
      </w:r>
      <w:r w:rsidR="002B7576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37748D">
        <w:rPr>
          <w:rFonts w:eastAsiaTheme="minorHAnsi"/>
          <w:sz w:val="28"/>
          <w:szCs w:val="28"/>
          <w:lang w:eastAsia="en-US"/>
        </w:rPr>
        <w:t>«</w:t>
      </w:r>
      <w:r w:rsidR="009D401B">
        <w:rPr>
          <w:rFonts w:eastAsiaTheme="minorHAnsi"/>
          <w:sz w:val="28"/>
          <w:szCs w:val="28"/>
          <w:lang w:eastAsia="en-US"/>
        </w:rPr>
        <w:t>Верхне-Атынские надгробия</w:t>
      </w:r>
      <w:r w:rsidR="0037748D">
        <w:rPr>
          <w:rFonts w:eastAsiaTheme="minorHAnsi"/>
          <w:sz w:val="28"/>
          <w:szCs w:val="28"/>
          <w:lang w:eastAsia="en-US"/>
        </w:rPr>
        <w:t>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4C7041" w:rsidRPr="004C7041">
        <w:rPr>
          <w:sz w:val="28"/>
          <w:szCs w:val="28"/>
        </w:rPr>
        <w:t xml:space="preserve"> </w:t>
      </w:r>
      <w:r w:rsidR="004C7041">
        <w:rPr>
          <w:sz w:val="28"/>
          <w:szCs w:val="28"/>
        </w:rPr>
        <w:t>XV – XVI вв. </w:t>
      </w:r>
      <w:r w:rsidR="004C7041" w:rsidRPr="004C7041">
        <w:rPr>
          <w:sz w:val="28"/>
          <w:szCs w:val="28"/>
        </w:rPr>
        <w:t>н.э.</w:t>
      </w:r>
      <w:r w:rsidR="004C7041">
        <w:rPr>
          <w:sz w:val="28"/>
          <w:szCs w:val="28"/>
        </w:rPr>
        <w:t xml:space="preserve">, </w:t>
      </w:r>
      <w:r w:rsidR="001B67C9" w:rsidRPr="001B67C9">
        <w:rPr>
          <w:sz w:val="28"/>
          <w:szCs w:val="28"/>
        </w:rPr>
        <w:t xml:space="preserve">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4C704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0F53DA">
        <w:rPr>
          <w:sz w:val="28"/>
          <w:szCs w:val="28"/>
        </w:rPr>
        <w:t>настоящего</w:t>
      </w:r>
      <w:r w:rsidR="000F53DA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37748D">
        <w:rPr>
          <w:rFonts w:eastAsiaTheme="minorHAnsi"/>
          <w:sz w:val="28"/>
          <w:szCs w:val="28"/>
          <w:lang w:eastAsia="en-US"/>
        </w:rPr>
        <w:t>«</w:t>
      </w:r>
      <w:r w:rsidR="009D401B">
        <w:rPr>
          <w:rFonts w:eastAsiaTheme="minorHAnsi"/>
          <w:sz w:val="28"/>
          <w:szCs w:val="28"/>
          <w:lang w:eastAsia="en-US"/>
        </w:rPr>
        <w:t>Верхне-Атынские надгробия</w:t>
      </w:r>
      <w:r w:rsidR="0037748D">
        <w:rPr>
          <w:rFonts w:eastAsiaTheme="minorHAnsi"/>
          <w:sz w:val="28"/>
          <w:szCs w:val="28"/>
          <w:lang w:eastAsia="en-US"/>
        </w:rPr>
        <w:t>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4C7041" w:rsidRPr="004C7041">
        <w:rPr>
          <w:sz w:val="28"/>
          <w:szCs w:val="28"/>
        </w:rPr>
        <w:t xml:space="preserve"> XV – XVI вв. н.э.</w:t>
      </w:r>
      <w:r w:rsidR="004C7041">
        <w:rPr>
          <w:sz w:val="28"/>
          <w:szCs w:val="28"/>
        </w:rPr>
        <w:t>, расположенного</w:t>
      </w:r>
      <w:r w:rsidR="004C7041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0B74BC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F53D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B74BC"/>
    <w:rsid w:val="000D04A5"/>
    <w:rsid w:val="000F41A7"/>
    <w:rsid w:val="000F53DA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60356"/>
    <w:rsid w:val="00281117"/>
    <w:rsid w:val="00284A7C"/>
    <w:rsid w:val="002861E5"/>
    <w:rsid w:val="00295568"/>
    <w:rsid w:val="002B7576"/>
    <w:rsid w:val="002E31CA"/>
    <w:rsid w:val="00304829"/>
    <w:rsid w:val="00321AE6"/>
    <w:rsid w:val="00325CC1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0E9"/>
    <w:rsid w:val="00417EC3"/>
    <w:rsid w:val="00445629"/>
    <w:rsid w:val="00450819"/>
    <w:rsid w:val="00475173"/>
    <w:rsid w:val="004B25A6"/>
    <w:rsid w:val="004C0D1B"/>
    <w:rsid w:val="004C7041"/>
    <w:rsid w:val="004E102C"/>
    <w:rsid w:val="004F4403"/>
    <w:rsid w:val="00533010"/>
    <w:rsid w:val="00540B15"/>
    <w:rsid w:val="0054768F"/>
    <w:rsid w:val="005540E4"/>
    <w:rsid w:val="005549CE"/>
    <w:rsid w:val="005B0C47"/>
    <w:rsid w:val="005C66E9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7B0A"/>
    <w:rsid w:val="006907FD"/>
    <w:rsid w:val="00703061"/>
    <w:rsid w:val="00704081"/>
    <w:rsid w:val="007171B7"/>
    <w:rsid w:val="007252B0"/>
    <w:rsid w:val="00744688"/>
    <w:rsid w:val="0077747D"/>
    <w:rsid w:val="007A3D68"/>
    <w:rsid w:val="007B481A"/>
    <w:rsid w:val="007E16AE"/>
    <w:rsid w:val="00802AA6"/>
    <w:rsid w:val="00813E24"/>
    <w:rsid w:val="00837ADE"/>
    <w:rsid w:val="00845B5C"/>
    <w:rsid w:val="00851C63"/>
    <w:rsid w:val="00865B92"/>
    <w:rsid w:val="008804CE"/>
    <w:rsid w:val="00886CE2"/>
    <w:rsid w:val="008C2E96"/>
    <w:rsid w:val="008C7BAD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9D401B"/>
    <w:rsid w:val="009E7699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4B2"/>
    <w:rsid w:val="00AC7D9F"/>
    <w:rsid w:val="00B06D96"/>
    <w:rsid w:val="00B24CD6"/>
    <w:rsid w:val="00B36B7F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B4FA1"/>
    <w:rsid w:val="00CC5ABC"/>
    <w:rsid w:val="00CE4F21"/>
    <w:rsid w:val="00D01B39"/>
    <w:rsid w:val="00D404D1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7EECDCB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132</cp:revision>
  <cp:lastPrinted>2023-09-07T12:00:00Z</cp:lastPrinted>
  <dcterms:created xsi:type="dcterms:W3CDTF">2021-12-07T13:05:00Z</dcterms:created>
  <dcterms:modified xsi:type="dcterms:W3CDTF">2023-10-11T06:11:00Z</dcterms:modified>
</cp:coreProperties>
</file>