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3DD" w:rsidRDefault="007613DD" w:rsidP="007613DD">
      <w:pPr>
        <w:jc w:val="center"/>
        <w:rPr>
          <w:b/>
          <w:sz w:val="28"/>
          <w:szCs w:val="28"/>
        </w:rPr>
      </w:pPr>
      <w:bookmarkStart w:id="0" w:name="_GoBack"/>
      <w:bookmarkEnd w:id="0"/>
      <w:r>
        <w:rPr>
          <w:b/>
          <w:sz w:val="28"/>
          <w:szCs w:val="28"/>
        </w:rPr>
        <w:t>И</w:t>
      </w:r>
      <w:r w:rsidRPr="00562560">
        <w:rPr>
          <w:b/>
          <w:sz w:val="28"/>
          <w:szCs w:val="28"/>
        </w:rPr>
        <w:t>нформаци</w:t>
      </w:r>
      <w:r>
        <w:rPr>
          <w:b/>
          <w:sz w:val="28"/>
          <w:szCs w:val="28"/>
        </w:rPr>
        <w:t>я</w:t>
      </w:r>
      <w:r w:rsidRPr="00562560">
        <w:rPr>
          <w:b/>
          <w:sz w:val="28"/>
          <w:szCs w:val="28"/>
        </w:rPr>
        <w:t xml:space="preserve"> </w:t>
      </w:r>
    </w:p>
    <w:p w:rsidR="007613DD" w:rsidRPr="007613DD" w:rsidRDefault="007613DD" w:rsidP="007613DD">
      <w:pPr>
        <w:jc w:val="center"/>
        <w:rPr>
          <w:sz w:val="24"/>
          <w:szCs w:val="24"/>
        </w:rPr>
      </w:pPr>
      <w:r w:rsidRPr="007613DD">
        <w:rPr>
          <w:sz w:val="24"/>
          <w:szCs w:val="24"/>
        </w:rPr>
        <w:t xml:space="preserve">об исполнении мероприятий программы </w:t>
      </w:r>
    </w:p>
    <w:p w:rsidR="004C7FC1" w:rsidRPr="007613DD" w:rsidRDefault="00E65FEA" w:rsidP="007613DD">
      <w:pPr>
        <w:jc w:val="center"/>
        <w:rPr>
          <w:sz w:val="28"/>
          <w:szCs w:val="28"/>
        </w:rPr>
      </w:pPr>
      <w:r w:rsidRPr="004C7FC1">
        <w:rPr>
          <w:sz w:val="24"/>
          <w:szCs w:val="24"/>
        </w:rPr>
        <w:t>Комитета Республики Татарстан по охране объектов культурного наследия</w:t>
      </w:r>
    </w:p>
    <w:p w:rsidR="00E65FEA" w:rsidRDefault="00E65FEA" w:rsidP="00E65FEA">
      <w:pPr>
        <w:autoSpaceDE w:val="0"/>
        <w:autoSpaceDN w:val="0"/>
        <w:adjustRightInd w:val="0"/>
        <w:jc w:val="center"/>
        <w:rPr>
          <w:sz w:val="24"/>
          <w:szCs w:val="24"/>
        </w:rPr>
      </w:pPr>
      <w:r w:rsidRPr="004C7FC1">
        <w:rPr>
          <w:sz w:val="24"/>
          <w:szCs w:val="24"/>
        </w:rPr>
        <w:t>по реализации антикоррупционной политики на 2019 - 202</w:t>
      </w:r>
      <w:r w:rsidR="00371E9E">
        <w:rPr>
          <w:sz w:val="24"/>
          <w:szCs w:val="24"/>
        </w:rPr>
        <w:t>3</w:t>
      </w:r>
      <w:r w:rsidRPr="004C7FC1">
        <w:rPr>
          <w:sz w:val="24"/>
          <w:szCs w:val="24"/>
        </w:rPr>
        <w:t xml:space="preserve"> годы</w:t>
      </w:r>
    </w:p>
    <w:p w:rsidR="008E2D6B" w:rsidRPr="00CA7359" w:rsidRDefault="007613DD" w:rsidP="007613DD">
      <w:pPr>
        <w:autoSpaceDE w:val="0"/>
        <w:autoSpaceDN w:val="0"/>
        <w:adjustRightInd w:val="0"/>
        <w:jc w:val="right"/>
      </w:pPr>
      <w:r w:rsidRPr="00CA7359">
        <w:t xml:space="preserve">по итогам </w:t>
      </w:r>
      <w:r w:rsidR="00D60139">
        <w:t xml:space="preserve">1 </w:t>
      </w:r>
      <w:r w:rsidR="00371E9E">
        <w:t>полугодия</w:t>
      </w:r>
      <w:r w:rsidR="00D60139">
        <w:t xml:space="preserve"> 2020</w:t>
      </w:r>
      <w:r w:rsidRPr="00CA7359">
        <w:t xml:space="preserve"> года</w:t>
      </w: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7"/>
        <w:gridCol w:w="283"/>
        <w:gridCol w:w="2268"/>
        <w:gridCol w:w="6460"/>
      </w:tblGrid>
      <w:tr w:rsidR="00EF268C" w:rsidRPr="004D362D" w:rsidTr="007A5206">
        <w:trPr>
          <w:trHeight w:val="276"/>
          <w:tblHeader/>
        </w:trPr>
        <w:tc>
          <w:tcPr>
            <w:tcW w:w="4928" w:type="dxa"/>
            <w:vMerge w:val="restart"/>
            <w:tcBorders>
              <w:bottom w:val="nil"/>
            </w:tcBorders>
            <w:shd w:val="clear" w:color="auto" w:fill="auto"/>
          </w:tcPr>
          <w:p w:rsidR="007A5206" w:rsidRPr="004D362D" w:rsidRDefault="007A5206" w:rsidP="007613DD">
            <w:pPr>
              <w:jc w:val="center"/>
            </w:pPr>
            <w:r w:rsidRPr="004D362D">
              <w:lastRenderedPageBreak/>
              <w:t>№ пункта / наименование мероприятия</w:t>
            </w:r>
          </w:p>
        </w:tc>
        <w:tc>
          <w:tcPr>
            <w:tcW w:w="2127" w:type="dxa"/>
            <w:vMerge w:val="restart"/>
            <w:tcBorders>
              <w:bottom w:val="nil"/>
            </w:tcBorders>
            <w:shd w:val="clear" w:color="auto" w:fill="auto"/>
          </w:tcPr>
          <w:p w:rsidR="007A5206" w:rsidRPr="004D362D" w:rsidRDefault="007A5206" w:rsidP="007613DD">
            <w:pPr>
              <w:jc w:val="center"/>
            </w:pPr>
            <w:r w:rsidRPr="004D362D">
              <w:t>Исполнители</w:t>
            </w:r>
          </w:p>
        </w:tc>
        <w:tc>
          <w:tcPr>
            <w:tcW w:w="283" w:type="dxa"/>
            <w:vMerge w:val="restart"/>
            <w:tcBorders>
              <w:bottom w:val="nil"/>
            </w:tcBorders>
            <w:shd w:val="clear" w:color="auto" w:fill="auto"/>
          </w:tcPr>
          <w:p w:rsidR="007A5206" w:rsidRPr="004D362D" w:rsidRDefault="007A5206" w:rsidP="007613DD">
            <w:pPr>
              <w:jc w:val="center"/>
            </w:pPr>
          </w:p>
        </w:tc>
        <w:tc>
          <w:tcPr>
            <w:tcW w:w="2268" w:type="dxa"/>
            <w:vMerge w:val="restart"/>
            <w:tcBorders>
              <w:bottom w:val="nil"/>
            </w:tcBorders>
            <w:shd w:val="clear" w:color="auto" w:fill="auto"/>
          </w:tcPr>
          <w:p w:rsidR="007A5206" w:rsidRPr="004D362D" w:rsidRDefault="007A5206" w:rsidP="007613DD">
            <w:pPr>
              <w:jc w:val="center"/>
            </w:pPr>
            <w:r w:rsidRPr="004D362D">
              <w:t>Индикатор</w:t>
            </w:r>
          </w:p>
        </w:tc>
        <w:tc>
          <w:tcPr>
            <w:tcW w:w="6460" w:type="dxa"/>
            <w:vMerge w:val="restart"/>
            <w:tcBorders>
              <w:bottom w:val="nil"/>
            </w:tcBorders>
            <w:shd w:val="clear" w:color="auto" w:fill="auto"/>
          </w:tcPr>
          <w:p w:rsidR="007A5206" w:rsidRPr="004D362D" w:rsidRDefault="007A5206" w:rsidP="007613DD">
            <w:pPr>
              <w:jc w:val="center"/>
            </w:pPr>
            <w:r w:rsidRPr="004D362D">
              <w:t>Информация</w:t>
            </w:r>
          </w:p>
          <w:p w:rsidR="007A5206" w:rsidRPr="004D362D" w:rsidRDefault="007A5206" w:rsidP="007613DD">
            <w:pPr>
              <w:jc w:val="center"/>
            </w:pPr>
            <w:r w:rsidRPr="004D362D">
              <w:t>об исполнении</w:t>
            </w:r>
          </w:p>
        </w:tc>
      </w:tr>
      <w:tr w:rsidR="00EF268C" w:rsidRPr="004D362D" w:rsidTr="007A5206">
        <w:trPr>
          <w:trHeight w:val="276"/>
          <w:tblHeader/>
        </w:trPr>
        <w:tc>
          <w:tcPr>
            <w:tcW w:w="4928" w:type="dxa"/>
            <w:vMerge/>
            <w:shd w:val="clear" w:color="auto" w:fill="auto"/>
          </w:tcPr>
          <w:p w:rsidR="007A5206" w:rsidRPr="004D362D" w:rsidRDefault="007A5206" w:rsidP="007613DD"/>
        </w:tc>
        <w:tc>
          <w:tcPr>
            <w:tcW w:w="2127" w:type="dxa"/>
            <w:vMerge/>
            <w:shd w:val="clear" w:color="auto" w:fill="auto"/>
          </w:tcPr>
          <w:p w:rsidR="007A5206" w:rsidRPr="004D362D" w:rsidRDefault="007A5206" w:rsidP="007613DD"/>
        </w:tc>
        <w:tc>
          <w:tcPr>
            <w:tcW w:w="283" w:type="dxa"/>
            <w:vMerge/>
            <w:shd w:val="clear" w:color="auto" w:fill="auto"/>
          </w:tcPr>
          <w:p w:rsidR="007A5206" w:rsidRPr="004D362D" w:rsidRDefault="007A5206" w:rsidP="007613DD"/>
        </w:tc>
        <w:tc>
          <w:tcPr>
            <w:tcW w:w="2268" w:type="dxa"/>
            <w:vMerge/>
            <w:shd w:val="clear" w:color="auto" w:fill="auto"/>
          </w:tcPr>
          <w:p w:rsidR="007A5206" w:rsidRPr="004D362D" w:rsidRDefault="007A5206" w:rsidP="007613DD"/>
        </w:tc>
        <w:tc>
          <w:tcPr>
            <w:tcW w:w="6460" w:type="dxa"/>
            <w:vMerge/>
            <w:shd w:val="clear" w:color="auto" w:fill="auto"/>
          </w:tcPr>
          <w:p w:rsidR="007A5206" w:rsidRPr="004D362D" w:rsidRDefault="007A5206" w:rsidP="007613DD"/>
        </w:tc>
      </w:tr>
      <w:tr w:rsidR="00EF268C" w:rsidRPr="004D362D" w:rsidTr="007A5206">
        <w:trPr>
          <w:trHeight w:val="276"/>
          <w:tblHeader/>
        </w:trPr>
        <w:tc>
          <w:tcPr>
            <w:tcW w:w="16066" w:type="dxa"/>
            <w:gridSpan w:val="5"/>
            <w:shd w:val="clear" w:color="auto" w:fill="auto"/>
          </w:tcPr>
          <w:p w:rsidR="007A5206" w:rsidRPr="004D362D" w:rsidRDefault="007A5206" w:rsidP="007613DD">
            <w:r w:rsidRPr="004D362D">
              <w:rPr>
                <w:b/>
              </w:rPr>
              <w:t>Цель:</w:t>
            </w:r>
            <w:r w:rsidRPr="004D362D">
              <w:t xml:space="preserve"> Выявление и устранение причин коррупции (профилактика коррупции), создание условий препятствующих коррупции, формирование в обществе нетерпимого отношения к коррупции; совершенствование системы противодействия коррупции</w:t>
            </w:r>
          </w:p>
        </w:tc>
      </w:tr>
      <w:tr w:rsidR="00EF268C" w:rsidRPr="004D362D" w:rsidTr="007A5206">
        <w:trPr>
          <w:trHeight w:val="276"/>
          <w:tblHeader/>
        </w:trPr>
        <w:tc>
          <w:tcPr>
            <w:tcW w:w="16066" w:type="dxa"/>
            <w:gridSpan w:val="5"/>
            <w:shd w:val="clear" w:color="auto" w:fill="auto"/>
          </w:tcPr>
          <w:p w:rsidR="007A5206" w:rsidRPr="004D362D" w:rsidRDefault="007A5206" w:rsidP="007613DD">
            <w:r w:rsidRPr="004D362D">
              <w:rPr>
                <w:b/>
              </w:rPr>
              <w:t>Задача 1.</w:t>
            </w:r>
            <w:r w:rsidRPr="004D362D">
              <w:t xml:space="preserve"> Совершенствование инструментов и механизмов, в том числе правовых и организационных, противодействия коррупции</w:t>
            </w:r>
          </w:p>
        </w:tc>
      </w:tr>
      <w:tr w:rsidR="00EF268C" w:rsidRPr="004D362D" w:rsidTr="007A5206">
        <w:trPr>
          <w:trHeight w:val="276"/>
          <w:tblHeader/>
        </w:trPr>
        <w:tc>
          <w:tcPr>
            <w:tcW w:w="4928" w:type="dxa"/>
            <w:shd w:val="clear" w:color="auto" w:fill="auto"/>
          </w:tcPr>
          <w:p w:rsidR="00072C95" w:rsidRPr="004D362D" w:rsidRDefault="00072C95" w:rsidP="007613DD">
            <w:pPr>
              <w:autoSpaceDE w:val="0"/>
              <w:autoSpaceDN w:val="0"/>
              <w:adjustRightInd w:val="0"/>
              <w:jc w:val="center"/>
            </w:pPr>
            <w:r w:rsidRPr="004D362D">
              <w:t>1.1. Участие в разработке нормативных правовых актов и внесение изменений в законодательные и иные нормативные правовые акты Республики Татарстан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2127" w:type="dxa"/>
            <w:shd w:val="clear" w:color="auto" w:fill="auto"/>
          </w:tcPr>
          <w:p w:rsidR="00072C95" w:rsidRPr="004D362D" w:rsidRDefault="00072C95" w:rsidP="007613DD">
            <w:pPr>
              <w:autoSpaceDE w:val="0"/>
              <w:autoSpaceDN w:val="0"/>
              <w:adjustRightInd w:val="0"/>
              <w:jc w:val="center"/>
            </w:pPr>
            <w:r w:rsidRPr="004D362D">
              <w:t>отдел правовой, организационной и кадровой работы; ответственное лицо за работу по профилактике коррупционных и иных правонарушений</w:t>
            </w:r>
          </w:p>
        </w:tc>
        <w:tc>
          <w:tcPr>
            <w:tcW w:w="283" w:type="dxa"/>
            <w:shd w:val="clear" w:color="auto" w:fill="auto"/>
          </w:tcPr>
          <w:p w:rsidR="00072C95" w:rsidRPr="004D362D" w:rsidRDefault="00072C95" w:rsidP="007613DD">
            <w:pPr>
              <w:autoSpaceDE w:val="0"/>
              <w:autoSpaceDN w:val="0"/>
              <w:adjustRightInd w:val="0"/>
              <w:jc w:val="center"/>
              <w:rPr>
                <w:rFonts w:eastAsiaTheme="minorEastAsia"/>
              </w:rPr>
            </w:pPr>
          </w:p>
        </w:tc>
        <w:tc>
          <w:tcPr>
            <w:tcW w:w="2268" w:type="dxa"/>
            <w:shd w:val="clear" w:color="auto" w:fill="auto"/>
          </w:tcPr>
          <w:p w:rsidR="00072C95" w:rsidRPr="004D362D" w:rsidRDefault="00072C95" w:rsidP="007613DD">
            <w:pPr>
              <w:autoSpaceDE w:val="0"/>
              <w:autoSpaceDN w:val="0"/>
              <w:adjustRightInd w:val="0"/>
              <w:jc w:val="center"/>
              <w:rPr>
                <w:rFonts w:eastAsiaTheme="minorEastAsia"/>
              </w:rPr>
            </w:pPr>
            <w:r w:rsidRPr="004D362D">
              <w:rPr>
                <w:rFonts w:eastAsiaTheme="minorEastAsia"/>
              </w:rPr>
              <w:t xml:space="preserve">внедрение внутреннего контроля и антикоррупционных механизмов в кадровую политику Комитета, разработка </w:t>
            </w:r>
            <w:r w:rsidRPr="004D362D">
              <w:t>нормативных правовых актов, предусмотренных законодательством,</w:t>
            </w:r>
            <w:r w:rsidRPr="004D362D">
              <w:rPr>
                <w:rFonts w:eastAsiaTheme="minorEastAsia"/>
              </w:rPr>
              <w:t xml:space="preserve"> в процентах</w:t>
            </w:r>
          </w:p>
        </w:tc>
        <w:tc>
          <w:tcPr>
            <w:tcW w:w="6460" w:type="dxa"/>
            <w:shd w:val="clear" w:color="auto" w:fill="auto"/>
          </w:tcPr>
          <w:p w:rsidR="00072C95" w:rsidRPr="004D362D" w:rsidRDefault="00072C95" w:rsidP="00EF268C">
            <w:pPr>
              <w:widowControl w:val="0"/>
              <w:jc w:val="both"/>
            </w:pPr>
            <w:r w:rsidRPr="004D362D">
              <w:t xml:space="preserve">В первом полугодии Комитетом Республики Татарстан по охране объектов культурного наследия (далее – Комитет) издано 2 приказа по противодействию коррупции: </w:t>
            </w:r>
          </w:p>
          <w:p w:rsidR="00072C95" w:rsidRPr="004D362D" w:rsidRDefault="00072C95" w:rsidP="00EF268C">
            <w:pPr>
              <w:widowControl w:val="0"/>
              <w:jc w:val="both"/>
            </w:pPr>
            <w:r w:rsidRPr="004D362D">
              <w:t xml:space="preserve">Приказ № 1.1-п от 10.01.2020 «Об утверждении </w:t>
            </w:r>
            <w:hyperlink w:anchor="P36" w:history="1">
              <w:r w:rsidRPr="004D362D">
                <w:t>План</w:t>
              </w:r>
            </w:hyperlink>
            <w:r w:rsidRPr="004D362D">
              <w:t>а работы Комиссии при председателе Комитета Республики Татарстан по охране объектов культурного наследия по противодействию коррупции на 2020 год».</w:t>
            </w:r>
          </w:p>
          <w:p w:rsidR="00072C95" w:rsidRPr="004D362D" w:rsidRDefault="00072C95" w:rsidP="00EF268C">
            <w:pPr>
              <w:jc w:val="both"/>
            </w:pPr>
            <w:r w:rsidRPr="004D362D">
              <w:t xml:space="preserve"> Приказ № 151-п от 30.06.2020 «О внесении изменений в составе  комиссий Комитета Республики Татарстан по охране объектов культурного наследия». </w:t>
            </w:r>
          </w:p>
          <w:p w:rsidR="00072C95" w:rsidRPr="004D362D" w:rsidRDefault="00072C95" w:rsidP="00EF268C">
            <w:pPr>
              <w:jc w:val="both"/>
            </w:pPr>
            <w:r w:rsidRPr="004D362D">
              <w:t xml:space="preserve">Принятые ранее нормативные правовые акты соответствуют законодательству и иным антикоррупционным нормативным актам Российской Федерации и Республики Татарстан. </w:t>
            </w:r>
          </w:p>
        </w:tc>
      </w:tr>
      <w:tr w:rsidR="00EF268C" w:rsidRPr="004D362D" w:rsidTr="007A5206">
        <w:trPr>
          <w:trHeight w:val="276"/>
          <w:tblHeader/>
        </w:trPr>
        <w:tc>
          <w:tcPr>
            <w:tcW w:w="4928" w:type="dxa"/>
            <w:shd w:val="clear" w:color="auto" w:fill="auto"/>
          </w:tcPr>
          <w:p w:rsidR="00695BAF" w:rsidRPr="004D362D" w:rsidRDefault="00695BAF" w:rsidP="00B47BC0">
            <w:pPr>
              <w:autoSpaceDE w:val="0"/>
              <w:autoSpaceDN w:val="0"/>
              <w:adjustRightInd w:val="0"/>
              <w:jc w:val="center"/>
              <w:rPr>
                <w:rFonts w:eastAsiaTheme="minorEastAsia"/>
              </w:rPr>
            </w:pPr>
            <w:r w:rsidRPr="004D362D">
              <w:t xml:space="preserve">1.2. </w:t>
            </w:r>
            <w:r w:rsidRPr="004D362D">
              <w:rPr>
                <w:rFonts w:eastAsiaTheme="minorEastAsia"/>
              </w:rPr>
              <w:t xml:space="preserve">Действенное функционирование должностного лица по профилактике коррупционных и иных правонарушений Комитета в соответствии с функциями, возложенными Указами Президента Российской Федерации от 21 сентября 2009 года </w:t>
            </w:r>
            <w:hyperlink r:id="rId8" w:history="1">
              <w:r w:rsidRPr="004D362D">
                <w:rPr>
                  <w:rFonts w:eastAsiaTheme="minorEastAsia"/>
                </w:rPr>
                <w:t>N 1065</w:t>
              </w:r>
            </w:hyperlink>
            <w:r w:rsidRPr="004D362D">
              <w:rPr>
                <w:rFonts w:eastAsiaTheme="minorEastAsia"/>
              </w:rPr>
              <w:t xml:space="preserve"> и Президента Республики Татарстан от 1 ноября 2010 года </w:t>
            </w:r>
            <w:hyperlink r:id="rId9" w:history="1">
              <w:r w:rsidRPr="004D362D">
                <w:rPr>
                  <w:rFonts w:eastAsiaTheme="minorEastAsia"/>
                </w:rPr>
                <w:t>N УП-711</w:t>
              </w:r>
            </w:hyperlink>
            <w:r w:rsidRPr="004D362D">
              <w:rPr>
                <w:rFonts w:eastAsiaTheme="minorEastAsia"/>
              </w:rPr>
              <w:t>, соблюдение принципа стабильности кадров, осуществляющих вышеуказанные функции</w:t>
            </w:r>
          </w:p>
        </w:tc>
        <w:tc>
          <w:tcPr>
            <w:tcW w:w="2127" w:type="dxa"/>
            <w:shd w:val="clear" w:color="auto" w:fill="auto"/>
          </w:tcPr>
          <w:p w:rsidR="00695BAF" w:rsidRPr="004D362D" w:rsidRDefault="00695BAF" w:rsidP="00B47BC0">
            <w:pPr>
              <w:pStyle w:val="ConsPlusNormal"/>
              <w:jc w:val="both"/>
              <w:rPr>
                <w:sz w:val="20"/>
                <w:szCs w:val="20"/>
              </w:rPr>
            </w:pPr>
            <w:r w:rsidRPr="004D362D">
              <w:rPr>
                <w:sz w:val="20"/>
                <w:szCs w:val="20"/>
              </w:rPr>
              <w:t>отдел правовой, организационной и кадровой работы</w:t>
            </w:r>
          </w:p>
        </w:tc>
        <w:tc>
          <w:tcPr>
            <w:tcW w:w="283" w:type="dxa"/>
            <w:shd w:val="clear" w:color="auto" w:fill="auto"/>
          </w:tcPr>
          <w:p w:rsidR="00695BAF" w:rsidRPr="004D362D" w:rsidRDefault="00695BAF" w:rsidP="007613DD">
            <w:pPr>
              <w:autoSpaceDE w:val="0"/>
              <w:autoSpaceDN w:val="0"/>
              <w:adjustRightInd w:val="0"/>
              <w:jc w:val="center"/>
              <w:rPr>
                <w:rFonts w:eastAsiaTheme="minorEastAsia"/>
              </w:rPr>
            </w:pPr>
          </w:p>
        </w:tc>
        <w:tc>
          <w:tcPr>
            <w:tcW w:w="2268" w:type="dxa"/>
            <w:shd w:val="clear" w:color="auto" w:fill="auto"/>
          </w:tcPr>
          <w:p w:rsidR="00695BAF" w:rsidRPr="004D362D" w:rsidRDefault="00695BAF" w:rsidP="00B47BC0">
            <w:pPr>
              <w:pStyle w:val="ConsPlusNormal"/>
              <w:jc w:val="both"/>
              <w:rPr>
                <w:sz w:val="20"/>
                <w:szCs w:val="20"/>
              </w:rPr>
            </w:pPr>
            <w:r w:rsidRPr="004D362D">
              <w:rPr>
                <w:sz w:val="20"/>
                <w:szCs w:val="20"/>
              </w:rPr>
              <w:t>наличие в штате должностного лица, ответственного за работу по профилактике коррупционных и иных правонарушений, планирование его работы по указанному направлению, в единицах</w:t>
            </w:r>
          </w:p>
        </w:tc>
        <w:tc>
          <w:tcPr>
            <w:tcW w:w="6460" w:type="dxa"/>
            <w:shd w:val="clear" w:color="auto" w:fill="auto"/>
          </w:tcPr>
          <w:p w:rsidR="00072C95" w:rsidRPr="004D362D" w:rsidRDefault="00072C95" w:rsidP="00072C95">
            <w:pPr>
              <w:tabs>
                <w:tab w:val="left" w:pos="4111"/>
              </w:tabs>
              <w:jc w:val="both"/>
            </w:pPr>
            <w:r w:rsidRPr="004D362D">
              <w:t xml:space="preserve">Приказом Комитета от 08.10.2018 №31-1лс ответственным сотрудником за работу по профилактике коррупционных и иных правонарушений назначен ведущий советник отдела правовой, организационной и кадровой работы Комитета Вильданова Р.Ш. </w:t>
            </w:r>
          </w:p>
          <w:p w:rsidR="00072C95" w:rsidRPr="004D362D" w:rsidRDefault="00072C95" w:rsidP="00072C95">
            <w:pPr>
              <w:autoSpaceDE w:val="0"/>
              <w:autoSpaceDN w:val="0"/>
              <w:adjustRightInd w:val="0"/>
              <w:jc w:val="both"/>
            </w:pPr>
            <w:r w:rsidRPr="004D362D">
              <w:t>Должностное лицо, ответственное за работу по профилактике коррупционных и иных правонарушений в Комитете, (далее – ответственное лицо) исполняет свои обязанности в соответствии с указами Президента Российской Федерации от 21.09.2009 № 1065 и Президента Республики Татарстан от 01.11.2010 № УП-711, утвержденным должностным регламентом.</w:t>
            </w:r>
          </w:p>
          <w:p w:rsidR="00695BAF" w:rsidRPr="004D362D" w:rsidRDefault="00072C95" w:rsidP="00072C95">
            <w:pPr>
              <w:autoSpaceDE w:val="0"/>
              <w:autoSpaceDN w:val="0"/>
              <w:adjustRightInd w:val="0"/>
              <w:jc w:val="both"/>
            </w:pPr>
            <w:r w:rsidRPr="004D362D">
              <w:t>Информация о должностном лице, ответственном за профилактику коррупционных и иных правонарушений, размещена на официальном сайте Комитета в разделе «Противодействие коррупции». Работа ведется в соответствии с планом работы, утвержденным на 2020 год.</w:t>
            </w:r>
          </w:p>
        </w:tc>
      </w:tr>
      <w:tr w:rsidR="00EF268C" w:rsidRPr="004D362D" w:rsidTr="007A5206">
        <w:trPr>
          <w:trHeight w:val="276"/>
          <w:tblHeader/>
        </w:trPr>
        <w:tc>
          <w:tcPr>
            <w:tcW w:w="4928" w:type="dxa"/>
            <w:shd w:val="clear" w:color="auto" w:fill="auto"/>
          </w:tcPr>
          <w:p w:rsidR="00072C95" w:rsidRPr="004D362D" w:rsidRDefault="00072C95" w:rsidP="007613DD">
            <w:pPr>
              <w:autoSpaceDE w:val="0"/>
              <w:autoSpaceDN w:val="0"/>
              <w:adjustRightInd w:val="0"/>
              <w:jc w:val="center"/>
            </w:pPr>
            <w:r w:rsidRPr="004D362D">
              <w:t xml:space="preserve">1.2.1. </w:t>
            </w:r>
            <w:r w:rsidRPr="004D362D">
              <w:rPr>
                <w:rFonts w:eastAsiaTheme="minorEastAsia"/>
              </w:rPr>
              <w:t xml:space="preserve">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гражданских служащих, своих супруги (супруга) и несовершеннолетних детей, представляемых гражданскими служащими (далее – справки о доходах). </w:t>
            </w:r>
            <w:r w:rsidRPr="004D362D">
              <w:t>Информирование органов Прокуратуры РТ о нарушениях, выявленных в ходе проверок</w:t>
            </w:r>
          </w:p>
        </w:tc>
        <w:tc>
          <w:tcPr>
            <w:tcW w:w="2127" w:type="dxa"/>
            <w:shd w:val="clear" w:color="auto" w:fill="auto"/>
          </w:tcPr>
          <w:p w:rsidR="00072C95" w:rsidRPr="004D362D" w:rsidRDefault="00072C95" w:rsidP="007613DD">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072C95" w:rsidRPr="004D362D" w:rsidRDefault="00072C95" w:rsidP="007613DD">
            <w:pPr>
              <w:pStyle w:val="ConsPlusNormal"/>
              <w:jc w:val="both"/>
              <w:rPr>
                <w:sz w:val="20"/>
                <w:szCs w:val="20"/>
              </w:rPr>
            </w:pPr>
          </w:p>
        </w:tc>
        <w:tc>
          <w:tcPr>
            <w:tcW w:w="2268" w:type="dxa"/>
            <w:shd w:val="clear" w:color="auto" w:fill="auto"/>
          </w:tcPr>
          <w:p w:rsidR="00072C95" w:rsidRPr="004D362D" w:rsidRDefault="00072C95" w:rsidP="007613DD">
            <w:pPr>
              <w:pStyle w:val="ConsPlusNormal"/>
              <w:jc w:val="both"/>
              <w:rPr>
                <w:sz w:val="20"/>
                <w:szCs w:val="20"/>
              </w:rPr>
            </w:pPr>
            <w:r w:rsidRPr="004D362D">
              <w:rPr>
                <w:sz w:val="20"/>
                <w:szCs w:val="20"/>
              </w:rPr>
              <w:t>проведение анализа и (или) проверок справок о доходах, в единицах</w:t>
            </w:r>
          </w:p>
        </w:tc>
        <w:tc>
          <w:tcPr>
            <w:tcW w:w="6460" w:type="dxa"/>
            <w:shd w:val="clear" w:color="auto" w:fill="auto"/>
          </w:tcPr>
          <w:p w:rsidR="00072C95" w:rsidRPr="004D362D" w:rsidRDefault="00072C95" w:rsidP="00EF268C">
            <w:pPr>
              <w:autoSpaceDE w:val="0"/>
              <w:autoSpaceDN w:val="0"/>
              <w:adjustRightInd w:val="0"/>
              <w:jc w:val="both"/>
            </w:pPr>
            <w:r w:rsidRPr="004D362D">
              <w:t>Проверки достоверности и полноты сведений о доходах, расходах, об имуществе и обязательствах имущественного характера служащих, своих супруги (супруга) и несовершеннолетних детей не проводились ввиду отсутствия оснований для их осуществления.</w:t>
            </w:r>
          </w:p>
        </w:tc>
      </w:tr>
      <w:tr w:rsidR="00EF268C" w:rsidRPr="004D362D" w:rsidTr="007A5206">
        <w:trPr>
          <w:trHeight w:val="276"/>
          <w:tblHeader/>
        </w:trPr>
        <w:tc>
          <w:tcPr>
            <w:tcW w:w="4928" w:type="dxa"/>
            <w:shd w:val="clear" w:color="auto" w:fill="auto"/>
          </w:tcPr>
          <w:p w:rsidR="00695BAF" w:rsidRPr="004D362D" w:rsidRDefault="00695BAF" w:rsidP="007613DD">
            <w:pPr>
              <w:pStyle w:val="ConsPlusNormal"/>
              <w:jc w:val="both"/>
              <w:rPr>
                <w:sz w:val="20"/>
                <w:szCs w:val="20"/>
              </w:rPr>
            </w:pPr>
            <w:r w:rsidRPr="004D362D">
              <w:rPr>
                <w:sz w:val="20"/>
                <w:szCs w:val="20"/>
              </w:rPr>
              <w:t>1.2.2. Проведение проверок информации о наличии или возможности возникновения конфликта интересов у государственного служащего Комитета, поступающей представителю нанимателя в установленном законодательством порядке</w:t>
            </w:r>
          </w:p>
        </w:tc>
        <w:tc>
          <w:tcPr>
            <w:tcW w:w="2127" w:type="dxa"/>
            <w:shd w:val="clear" w:color="auto" w:fill="auto"/>
          </w:tcPr>
          <w:p w:rsidR="00695BAF" w:rsidRPr="004D362D" w:rsidRDefault="00695BAF" w:rsidP="007613DD">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7613DD">
            <w:pPr>
              <w:pStyle w:val="ConsPlusNormal"/>
              <w:jc w:val="both"/>
              <w:rPr>
                <w:sz w:val="20"/>
                <w:szCs w:val="20"/>
              </w:rPr>
            </w:pPr>
          </w:p>
        </w:tc>
        <w:tc>
          <w:tcPr>
            <w:tcW w:w="2268" w:type="dxa"/>
            <w:shd w:val="clear" w:color="auto" w:fill="auto"/>
          </w:tcPr>
          <w:p w:rsidR="00695BAF" w:rsidRPr="004D362D" w:rsidRDefault="00695BAF" w:rsidP="007613DD">
            <w:pPr>
              <w:pStyle w:val="ConsPlusNormal"/>
              <w:jc w:val="both"/>
              <w:rPr>
                <w:sz w:val="20"/>
                <w:szCs w:val="20"/>
              </w:rPr>
            </w:pPr>
            <w:r w:rsidRPr="004D362D">
              <w:rPr>
                <w:sz w:val="20"/>
                <w:szCs w:val="20"/>
              </w:rPr>
              <w:t xml:space="preserve">количество проведенных проверок, случаев возникновения конфликта интересов у государственных служащих, в единицах </w:t>
            </w:r>
          </w:p>
        </w:tc>
        <w:tc>
          <w:tcPr>
            <w:tcW w:w="6460" w:type="dxa"/>
            <w:shd w:val="clear" w:color="auto" w:fill="auto"/>
          </w:tcPr>
          <w:p w:rsidR="00695BAF" w:rsidRPr="004D362D" w:rsidRDefault="00072C95" w:rsidP="00D76698">
            <w:pPr>
              <w:widowControl w:val="0"/>
              <w:jc w:val="both"/>
            </w:pPr>
            <w:r w:rsidRPr="004D362D">
              <w:t>Анализ сведений о соблюдении государственными гражданскими служащими запретов, ограничений и требований, установленных в целях противодействия коррупции, проведён в отношении 20 государственных гражданских служащих комитета. Проверена информация на основании представленных дополнений к анкете о родственниках (свойственниках). Нарушения не выявлены.</w:t>
            </w:r>
          </w:p>
        </w:tc>
      </w:tr>
      <w:tr w:rsidR="00EF268C" w:rsidRPr="004D362D" w:rsidTr="007A5206">
        <w:trPr>
          <w:trHeight w:val="276"/>
          <w:tblHeader/>
        </w:trPr>
        <w:tc>
          <w:tcPr>
            <w:tcW w:w="4928" w:type="dxa"/>
            <w:shd w:val="clear" w:color="auto" w:fill="auto"/>
          </w:tcPr>
          <w:p w:rsidR="00695BAF" w:rsidRPr="004D362D" w:rsidRDefault="00695BAF" w:rsidP="007613DD">
            <w:pPr>
              <w:pStyle w:val="ConsPlusNormal"/>
              <w:jc w:val="both"/>
              <w:rPr>
                <w:sz w:val="20"/>
                <w:szCs w:val="20"/>
              </w:rPr>
            </w:pPr>
            <w:r w:rsidRPr="004D362D">
              <w:rPr>
                <w:sz w:val="20"/>
                <w:szCs w:val="20"/>
              </w:rPr>
              <w:t>1.2.4. Проведение в порядке, определенном представителем нанимателя (работодателя), проверок сведений о фактах обращения в целях склонения государственного служащего Комитета к совершению коррупционных правонарушений</w:t>
            </w:r>
          </w:p>
        </w:tc>
        <w:tc>
          <w:tcPr>
            <w:tcW w:w="2127" w:type="dxa"/>
            <w:shd w:val="clear" w:color="auto" w:fill="auto"/>
          </w:tcPr>
          <w:p w:rsidR="00695BAF" w:rsidRPr="004D362D" w:rsidRDefault="00695BAF" w:rsidP="007613DD">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7613DD">
            <w:pPr>
              <w:pStyle w:val="ConsPlusNormal"/>
              <w:jc w:val="both"/>
              <w:rPr>
                <w:sz w:val="20"/>
                <w:szCs w:val="20"/>
              </w:rPr>
            </w:pPr>
          </w:p>
        </w:tc>
        <w:tc>
          <w:tcPr>
            <w:tcW w:w="2268" w:type="dxa"/>
            <w:shd w:val="clear" w:color="auto" w:fill="auto"/>
          </w:tcPr>
          <w:p w:rsidR="00695BAF" w:rsidRPr="004D362D" w:rsidRDefault="00695BAF" w:rsidP="007613DD">
            <w:pPr>
              <w:pStyle w:val="ConsPlusNormal"/>
              <w:jc w:val="both"/>
              <w:rPr>
                <w:sz w:val="20"/>
                <w:szCs w:val="20"/>
              </w:rPr>
            </w:pPr>
            <w:r w:rsidRPr="004D362D">
              <w:rPr>
                <w:sz w:val="20"/>
                <w:szCs w:val="20"/>
              </w:rPr>
              <w:t>количество поступивших сведений о фактах обращения в целях склонения государственного служащего к совершению коррупционных правонарушений, в единицах</w:t>
            </w:r>
          </w:p>
        </w:tc>
        <w:tc>
          <w:tcPr>
            <w:tcW w:w="6460" w:type="dxa"/>
            <w:shd w:val="clear" w:color="auto" w:fill="auto"/>
          </w:tcPr>
          <w:p w:rsidR="00695BAF" w:rsidRPr="004D362D" w:rsidRDefault="00695BAF" w:rsidP="00D76698">
            <w:pPr>
              <w:widowControl w:val="0"/>
              <w:jc w:val="both"/>
            </w:pPr>
            <w:r w:rsidRPr="004D362D">
              <w:t>Обращений в целях склонения государственных служащих Комитета к совершению коррупционных правонарушений не поступало, проверки не проводились.</w:t>
            </w:r>
          </w:p>
        </w:tc>
      </w:tr>
      <w:tr w:rsidR="00EF268C" w:rsidRPr="004D362D" w:rsidTr="007A5206">
        <w:trPr>
          <w:trHeight w:val="276"/>
          <w:tblHeader/>
        </w:trPr>
        <w:tc>
          <w:tcPr>
            <w:tcW w:w="4928" w:type="dxa"/>
            <w:shd w:val="clear" w:color="auto" w:fill="auto"/>
          </w:tcPr>
          <w:p w:rsidR="00072C95" w:rsidRPr="004D362D" w:rsidRDefault="00072C95" w:rsidP="00521048">
            <w:pPr>
              <w:widowControl w:val="0"/>
              <w:jc w:val="both"/>
            </w:pPr>
            <w:r w:rsidRPr="004D362D">
              <w:t xml:space="preserve">1.2.5. Систематическое проведение оценки коррупционных рисков, возникающих при реализации государственными служащими функций, и внесение уточнений в перечень должностей государственной службы, замещение которых связано с коррупционными рисками </w:t>
            </w:r>
          </w:p>
        </w:tc>
        <w:tc>
          <w:tcPr>
            <w:tcW w:w="2127" w:type="dxa"/>
            <w:shd w:val="clear" w:color="auto" w:fill="auto"/>
          </w:tcPr>
          <w:p w:rsidR="00072C95" w:rsidRPr="004D362D" w:rsidRDefault="00072C95"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072C95" w:rsidRPr="004D362D" w:rsidRDefault="00072C95" w:rsidP="00521048">
            <w:pPr>
              <w:autoSpaceDE w:val="0"/>
              <w:autoSpaceDN w:val="0"/>
              <w:adjustRightInd w:val="0"/>
              <w:jc w:val="center"/>
              <w:rPr>
                <w:rFonts w:eastAsiaTheme="minorEastAsia"/>
              </w:rPr>
            </w:pPr>
          </w:p>
        </w:tc>
        <w:tc>
          <w:tcPr>
            <w:tcW w:w="2268" w:type="dxa"/>
            <w:shd w:val="clear" w:color="auto" w:fill="auto"/>
          </w:tcPr>
          <w:p w:rsidR="00072C95" w:rsidRPr="004D362D" w:rsidRDefault="00072C95" w:rsidP="00521048">
            <w:pPr>
              <w:pStyle w:val="ConsPlusNormal"/>
              <w:jc w:val="both"/>
              <w:rPr>
                <w:sz w:val="20"/>
                <w:szCs w:val="20"/>
              </w:rPr>
            </w:pPr>
            <w:r w:rsidRPr="004D362D">
              <w:rPr>
                <w:sz w:val="20"/>
                <w:szCs w:val="20"/>
              </w:rPr>
              <w:t>количество приказов о Перечне должностей государственной гражданской службы, замещение которых связано с коррупционными рисками, в единицах</w:t>
            </w:r>
          </w:p>
        </w:tc>
        <w:tc>
          <w:tcPr>
            <w:tcW w:w="6460" w:type="dxa"/>
            <w:shd w:val="clear" w:color="auto" w:fill="auto"/>
          </w:tcPr>
          <w:p w:rsidR="00072C95" w:rsidRPr="004D362D" w:rsidRDefault="00072C95" w:rsidP="00EF268C">
            <w:pPr>
              <w:autoSpaceDE w:val="0"/>
              <w:autoSpaceDN w:val="0"/>
              <w:adjustRightInd w:val="0"/>
              <w:jc w:val="both"/>
            </w:pPr>
            <w:r w:rsidRPr="004D362D">
              <w:t>При оценке коррупционных рисков использованы Методические рекомендации по проведению оценки коррупционных рисков, возникающих при реализации функций, подготовленные Министерством труда и социальной защиты Российской Федерации.</w:t>
            </w:r>
          </w:p>
          <w:p w:rsidR="00072C95" w:rsidRPr="004D362D" w:rsidRDefault="00072C95" w:rsidP="00EF268C">
            <w:pPr>
              <w:widowControl w:val="0"/>
              <w:jc w:val="both"/>
            </w:pPr>
            <w:r w:rsidRPr="004D362D">
              <w:t>Все должности государственной гражданской службы Комитета внесены в перечень должностей государственной службы, замещение которых связано с коррупционными рисками (100 процентов).</w:t>
            </w:r>
          </w:p>
          <w:p w:rsidR="00072C95" w:rsidRPr="004D362D" w:rsidRDefault="00072C95" w:rsidP="00EF268C">
            <w:pPr>
              <w:widowControl w:val="0"/>
              <w:jc w:val="both"/>
            </w:pPr>
            <w:r w:rsidRPr="004D362D">
              <w:t>Приказом Комитета утвержден перечень должностей государственной гражданской службы Республики Татарстан в Комитете, замещение которых связано с коррупционными рисками (</w:t>
            </w:r>
            <w:r w:rsidRPr="004D362D">
              <w:rPr>
                <w:i/>
              </w:rPr>
              <w:t>от 14.11.2018 №48</w:t>
            </w:r>
            <w:r w:rsidRPr="004D362D">
              <w:t>), размещен на официальном сайте Комитета в разделе «Противодействие коррупции» и доведен до сведения государственных служащих Комитета. В 2020 году изменения в перечень не вносились.</w:t>
            </w:r>
          </w:p>
        </w:tc>
      </w:tr>
      <w:tr w:rsidR="00EF268C" w:rsidRPr="004D362D" w:rsidTr="007A5206">
        <w:trPr>
          <w:trHeight w:val="276"/>
          <w:tblHeader/>
        </w:trPr>
        <w:tc>
          <w:tcPr>
            <w:tcW w:w="4928" w:type="dxa"/>
            <w:shd w:val="clear" w:color="auto" w:fill="auto"/>
          </w:tcPr>
          <w:p w:rsidR="00072C95" w:rsidRPr="004D362D" w:rsidRDefault="00072C95" w:rsidP="00521048">
            <w:pPr>
              <w:widowControl w:val="0"/>
              <w:jc w:val="both"/>
            </w:pPr>
            <w:r w:rsidRPr="004D362D">
              <w:t>1.2.6. Внедрение и использование в деятельности должностного лица, ответственного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 мониторинга, анализа, сбора, систематизации и рассмотрения информации</w:t>
            </w:r>
          </w:p>
        </w:tc>
        <w:tc>
          <w:tcPr>
            <w:tcW w:w="2127" w:type="dxa"/>
            <w:shd w:val="clear" w:color="auto" w:fill="auto"/>
          </w:tcPr>
          <w:p w:rsidR="00072C95" w:rsidRPr="004D362D" w:rsidRDefault="00072C95" w:rsidP="00521048">
            <w:pPr>
              <w:pStyle w:val="ConsPlusNormal"/>
              <w:jc w:val="both"/>
              <w:rPr>
                <w:rFonts w:eastAsia="Times New Roman"/>
                <w:sz w:val="20"/>
                <w:szCs w:val="20"/>
              </w:rPr>
            </w:pPr>
            <w:r w:rsidRPr="004D362D">
              <w:rPr>
                <w:rFonts w:eastAsia="Times New Roman"/>
                <w:sz w:val="20"/>
                <w:szCs w:val="20"/>
              </w:rPr>
              <w:t>ответственное лицо за работу по профилактике коррупционных и иных правонарушений</w:t>
            </w:r>
          </w:p>
        </w:tc>
        <w:tc>
          <w:tcPr>
            <w:tcW w:w="283" w:type="dxa"/>
            <w:shd w:val="clear" w:color="auto" w:fill="auto"/>
          </w:tcPr>
          <w:p w:rsidR="00072C95" w:rsidRPr="004D362D" w:rsidRDefault="00072C95" w:rsidP="00521048">
            <w:pPr>
              <w:autoSpaceDE w:val="0"/>
              <w:autoSpaceDN w:val="0"/>
              <w:adjustRightInd w:val="0"/>
              <w:jc w:val="center"/>
            </w:pPr>
          </w:p>
        </w:tc>
        <w:tc>
          <w:tcPr>
            <w:tcW w:w="2268" w:type="dxa"/>
            <w:shd w:val="clear" w:color="auto" w:fill="auto"/>
          </w:tcPr>
          <w:p w:rsidR="00072C95" w:rsidRPr="004D362D" w:rsidRDefault="00072C95" w:rsidP="00521048">
            <w:pPr>
              <w:pStyle w:val="ConsPlusNormal"/>
              <w:jc w:val="both"/>
              <w:rPr>
                <w:rFonts w:eastAsia="Times New Roman"/>
                <w:sz w:val="20"/>
                <w:szCs w:val="20"/>
              </w:rPr>
            </w:pPr>
            <w:r w:rsidRPr="004D362D">
              <w:rPr>
                <w:rFonts w:eastAsia="Times New Roman"/>
                <w:sz w:val="20"/>
                <w:szCs w:val="20"/>
              </w:rPr>
              <w:t>наличие компьютерных программ, разработанных на базе специального программного обеспечения</w:t>
            </w:r>
          </w:p>
        </w:tc>
        <w:tc>
          <w:tcPr>
            <w:tcW w:w="6460" w:type="dxa"/>
            <w:shd w:val="clear" w:color="auto" w:fill="auto"/>
          </w:tcPr>
          <w:p w:rsidR="00072C95" w:rsidRPr="004D362D" w:rsidRDefault="00072C95" w:rsidP="00EF268C">
            <w:pPr>
              <w:widowControl w:val="0"/>
              <w:jc w:val="both"/>
            </w:pPr>
            <w:r w:rsidRPr="004D362D">
              <w:t xml:space="preserve">В базу данных Единой информационной системы кадрового состава государственной гражданской службы Республики Татарстан и муниципальной службы Республики Татарстан внесены сведения о доходах служащих по итогам 2019 года и вновь поступивших на службу в 2020 году. </w:t>
            </w:r>
          </w:p>
          <w:p w:rsidR="00072C95" w:rsidRPr="004D362D" w:rsidRDefault="00072C95" w:rsidP="00EF268C">
            <w:pPr>
              <w:widowControl w:val="0"/>
              <w:jc w:val="both"/>
            </w:pPr>
            <w:r w:rsidRPr="004D362D">
              <w:t>Для заполнения сведений о доходах по итогам года государственные гражданские служащие имеют доступ к использованию электронного сервиса «Предоставление сведений о доходах» (</w:t>
            </w:r>
            <w:hyperlink r:id="rId10" w:history="1">
              <w:r w:rsidRPr="004D362D">
                <w:t>https://dohod.tatar.ru/</w:t>
              </w:r>
            </w:hyperlink>
            <w:r w:rsidRPr="004D362D">
              <w:t>) в Электронном правительстве (Электронный Татарстан).</w:t>
            </w:r>
          </w:p>
        </w:tc>
      </w:tr>
      <w:tr w:rsidR="00EF268C" w:rsidRPr="004D362D" w:rsidTr="007A5206">
        <w:trPr>
          <w:trHeight w:val="276"/>
          <w:tblHeader/>
        </w:trPr>
        <w:tc>
          <w:tcPr>
            <w:tcW w:w="4928" w:type="dxa"/>
            <w:shd w:val="clear" w:color="auto" w:fill="auto"/>
          </w:tcPr>
          <w:p w:rsidR="00072C95" w:rsidRPr="004D362D" w:rsidRDefault="00072C95" w:rsidP="00521048">
            <w:pPr>
              <w:autoSpaceDE w:val="0"/>
              <w:autoSpaceDN w:val="0"/>
              <w:adjustRightInd w:val="0"/>
              <w:jc w:val="both"/>
            </w:pPr>
            <w:r w:rsidRPr="004D362D">
              <w:t>1.2.7. Осуществление кадровой работы в части, касающейся ведения личных дел государственных служащих,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127" w:type="dxa"/>
            <w:shd w:val="clear" w:color="auto" w:fill="auto"/>
          </w:tcPr>
          <w:p w:rsidR="00072C95" w:rsidRPr="004D362D" w:rsidRDefault="00072C95"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072C95" w:rsidRPr="004D362D" w:rsidRDefault="00072C95" w:rsidP="00521048">
            <w:pPr>
              <w:autoSpaceDE w:val="0"/>
              <w:autoSpaceDN w:val="0"/>
              <w:adjustRightInd w:val="0"/>
              <w:jc w:val="center"/>
              <w:rPr>
                <w:rFonts w:eastAsiaTheme="minorEastAsia"/>
              </w:rPr>
            </w:pPr>
          </w:p>
        </w:tc>
        <w:tc>
          <w:tcPr>
            <w:tcW w:w="2268" w:type="dxa"/>
            <w:shd w:val="clear" w:color="auto" w:fill="auto"/>
          </w:tcPr>
          <w:p w:rsidR="00072C95" w:rsidRPr="004D362D" w:rsidRDefault="00072C95" w:rsidP="00521048">
            <w:pPr>
              <w:pStyle w:val="ConsPlusNormal"/>
              <w:jc w:val="both"/>
              <w:rPr>
                <w:sz w:val="20"/>
                <w:szCs w:val="20"/>
              </w:rPr>
            </w:pPr>
            <w:r w:rsidRPr="004D362D">
              <w:rPr>
                <w:sz w:val="20"/>
                <w:szCs w:val="20"/>
              </w:rPr>
              <w:t>проведение анализа и (или) проверок личных дел, в процентах</w:t>
            </w:r>
          </w:p>
        </w:tc>
        <w:tc>
          <w:tcPr>
            <w:tcW w:w="6460" w:type="dxa"/>
            <w:shd w:val="clear" w:color="auto" w:fill="auto"/>
          </w:tcPr>
          <w:p w:rsidR="00072C95" w:rsidRPr="004D362D" w:rsidRDefault="00072C95" w:rsidP="00EF268C">
            <w:pPr>
              <w:widowControl w:val="0"/>
              <w:jc w:val="both"/>
            </w:pPr>
            <w:r w:rsidRPr="004D362D">
              <w:t xml:space="preserve">Личные дела гражданских служащих Комитета сформированы в соответствии с Положением о персональных данных государственного гражданского служащего РФ и ведении его личного дела </w:t>
            </w:r>
            <w:r w:rsidRPr="004D362D">
              <w:rPr>
                <w:i/>
              </w:rPr>
              <w:t xml:space="preserve">(Указ Президента РФ от 30.05.2005 № 609), </w:t>
            </w:r>
            <w:r w:rsidRPr="004D362D">
              <w:t xml:space="preserve">постоянно поддерживаются в актуальном состоянии. Сведения, содержащиеся в анкетах, сверяются с оригиналами документов. Сведения о доходах, расходах, имуществе и обязательствах имущественного характера гражданских служащих сопоставлены с иной имеющейся в распоряжении отдела правовой, организационной и кадровой работы информацией из личного дела гражданского служащего, представившего сведения.  </w:t>
            </w:r>
          </w:p>
          <w:p w:rsidR="00072C95" w:rsidRPr="004D362D" w:rsidRDefault="00072C95" w:rsidP="00EF268C">
            <w:pPr>
              <w:ind w:firstLine="33"/>
              <w:jc w:val="both"/>
            </w:pPr>
            <w:r w:rsidRPr="004D362D">
              <w:t xml:space="preserve">В течение пяти месяцев текущего года Комитетом проведена работа </w:t>
            </w:r>
            <w:r w:rsidRPr="004D362D">
              <w:br/>
              <w:t xml:space="preserve">по обновлению анкетных данных государственных гражданских служащих Комитета в части предоставления сведений о супругах своих братьев и сестер и о братьях и сестрах своих супругов. В целях выявления возможного конфликта интересов проведен анализ полученных сведений о родственниках и свойственниках, по итогам которого конфликт интересов не выявлен. </w:t>
            </w:r>
          </w:p>
          <w:p w:rsidR="00072C95" w:rsidRPr="004D362D" w:rsidRDefault="00072C95" w:rsidP="00EF268C">
            <w:pPr>
              <w:ind w:firstLine="33"/>
              <w:jc w:val="both"/>
            </w:pPr>
            <w:r w:rsidRPr="004D362D">
              <w:t>Также в 2020 году проанализированы анкетные данные кандидатов на должности государственной гражданской службы Республики Татарстан в Комитете, нарушений не выявлено.</w:t>
            </w:r>
          </w:p>
        </w:tc>
      </w:tr>
      <w:tr w:rsidR="00EF268C" w:rsidRPr="004D362D" w:rsidTr="007A5206">
        <w:trPr>
          <w:trHeight w:val="276"/>
          <w:tblHeader/>
        </w:trPr>
        <w:tc>
          <w:tcPr>
            <w:tcW w:w="4928" w:type="dxa"/>
            <w:shd w:val="clear" w:color="auto" w:fill="auto"/>
          </w:tcPr>
          <w:p w:rsidR="00072C95" w:rsidRPr="004D362D" w:rsidRDefault="00072C95" w:rsidP="00521048">
            <w:pPr>
              <w:pStyle w:val="ConsPlusNormal"/>
              <w:jc w:val="both"/>
              <w:rPr>
                <w:sz w:val="20"/>
                <w:szCs w:val="20"/>
              </w:rPr>
            </w:pPr>
            <w:r w:rsidRPr="004D362D">
              <w:rPr>
                <w:sz w:val="20"/>
                <w:szCs w:val="20"/>
              </w:rPr>
              <w:lastRenderedPageBreak/>
              <w:t>1.3. Обеспечение открытости деятельности Комиссии при председателе Комитета по противодействию коррупции, в том числе путем вовлечения в их деятельность представителей общественных советов и других институтов гражданского общества</w:t>
            </w:r>
          </w:p>
        </w:tc>
        <w:tc>
          <w:tcPr>
            <w:tcW w:w="2127" w:type="dxa"/>
            <w:shd w:val="clear" w:color="auto" w:fill="auto"/>
          </w:tcPr>
          <w:p w:rsidR="00072C95" w:rsidRPr="004D362D" w:rsidRDefault="00072C95"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 - секретарь комиссии, Комиссия при председателе Комитета по противодействию коррупции</w:t>
            </w:r>
          </w:p>
        </w:tc>
        <w:tc>
          <w:tcPr>
            <w:tcW w:w="283" w:type="dxa"/>
            <w:shd w:val="clear" w:color="auto" w:fill="auto"/>
          </w:tcPr>
          <w:p w:rsidR="00072C95" w:rsidRPr="004D362D" w:rsidRDefault="00072C95" w:rsidP="00521048">
            <w:pPr>
              <w:autoSpaceDE w:val="0"/>
              <w:autoSpaceDN w:val="0"/>
              <w:adjustRightInd w:val="0"/>
              <w:jc w:val="center"/>
              <w:rPr>
                <w:rFonts w:eastAsiaTheme="minorEastAsia"/>
              </w:rPr>
            </w:pPr>
          </w:p>
        </w:tc>
        <w:tc>
          <w:tcPr>
            <w:tcW w:w="2268" w:type="dxa"/>
            <w:shd w:val="clear" w:color="auto" w:fill="auto"/>
          </w:tcPr>
          <w:p w:rsidR="00072C95" w:rsidRPr="004D362D" w:rsidRDefault="00072C95" w:rsidP="00521048">
            <w:pPr>
              <w:pStyle w:val="ConsPlusNormal"/>
              <w:jc w:val="both"/>
              <w:rPr>
                <w:sz w:val="20"/>
                <w:szCs w:val="20"/>
              </w:rPr>
            </w:pPr>
            <w:r w:rsidRPr="004D362D">
              <w:rPr>
                <w:sz w:val="20"/>
                <w:szCs w:val="20"/>
              </w:rPr>
              <w:t>наличие на официальном сайте Комитета в разделе «Противодействие коррупции» подраздела «Комиссия при председателе Комитета по противодействию коррупции» и наполнение его  материалами/участие в деятельности комиссии представителей общественных советов и других институтов гражданского общества</w:t>
            </w:r>
          </w:p>
        </w:tc>
        <w:tc>
          <w:tcPr>
            <w:tcW w:w="6460" w:type="dxa"/>
            <w:shd w:val="clear" w:color="auto" w:fill="auto"/>
          </w:tcPr>
          <w:p w:rsidR="00072C95" w:rsidRPr="004D362D" w:rsidRDefault="00072C95" w:rsidP="00EF268C">
            <w:pPr>
              <w:widowControl w:val="0"/>
              <w:jc w:val="both"/>
            </w:pPr>
            <w:r w:rsidRPr="004D362D">
              <w:t xml:space="preserve">В целях обеспечения открытости деятельности комиссии в подразделе «Комиссия при председателе Комитета по противодействию коррупции» раздела «Противодействие коррупции» официального сайта Комитета размещены: приказ Комитета «Об утверждении Комиссии при председателе Комитета по противодействию коррупции», положение и ее состав; план работы Комиссии на 2019 и 2020 годы; информация о проведении заседания комиссии, иная актуальная информация. </w:t>
            </w:r>
          </w:p>
          <w:p w:rsidR="00072C95" w:rsidRPr="004D362D" w:rsidRDefault="00072C95" w:rsidP="00EF268C">
            <w:pPr>
              <w:widowControl w:val="0"/>
              <w:jc w:val="both"/>
            </w:pPr>
            <w:r w:rsidRPr="004D362D">
              <w:t xml:space="preserve">В целях вовлечения в деятельность комиссии представителей общественности в ее состав включены представители Общественного совета Комитета и ГБУ «Центр культурного наследия Татарстана». </w:t>
            </w:r>
          </w:p>
        </w:tc>
      </w:tr>
      <w:tr w:rsidR="00EF268C" w:rsidRPr="004D362D" w:rsidTr="007A5206">
        <w:trPr>
          <w:trHeight w:val="276"/>
          <w:tblHeader/>
        </w:trPr>
        <w:tc>
          <w:tcPr>
            <w:tcW w:w="4928" w:type="dxa"/>
            <w:shd w:val="clear" w:color="auto" w:fill="auto"/>
          </w:tcPr>
          <w:p w:rsidR="00796FAE" w:rsidRPr="004D362D" w:rsidRDefault="00796FAE" w:rsidP="00521048">
            <w:pPr>
              <w:widowControl w:val="0"/>
              <w:jc w:val="both"/>
            </w:pPr>
            <w:r w:rsidRPr="004D362D">
              <w:t>1.4. Обеспечение действенного функционирования Комиссии Комитета по соблюдению требований к служебному поведению государственных служащих и урегулированию конфликта интересов в соответствии с установленными требованиями федерального законодательства и законодательства Республики Татарстан</w:t>
            </w:r>
          </w:p>
          <w:p w:rsidR="00796FAE" w:rsidRPr="004D362D" w:rsidRDefault="00796FAE" w:rsidP="00521048">
            <w:pPr>
              <w:widowControl w:val="0"/>
              <w:jc w:val="both"/>
            </w:pPr>
          </w:p>
        </w:tc>
        <w:tc>
          <w:tcPr>
            <w:tcW w:w="2127" w:type="dxa"/>
            <w:shd w:val="clear" w:color="auto" w:fill="auto"/>
          </w:tcPr>
          <w:p w:rsidR="00796FAE" w:rsidRPr="004D362D" w:rsidRDefault="00796FAE"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 - секретарь комиссии Комитета по соблюдению требований к служебному поведению государственных служащих и урегулированию конфликта интересов</w:t>
            </w:r>
          </w:p>
        </w:tc>
        <w:tc>
          <w:tcPr>
            <w:tcW w:w="283" w:type="dxa"/>
            <w:shd w:val="clear" w:color="auto" w:fill="auto"/>
          </w:tcPr>
          <w:p w:rsidR="00796FAE" w:rsidRPr="004D362D" w:rsidRDefault="00796FAE" w:rsidP="00521048">
            <w:pPr>
              <w:autoSpaceDE w:val="0"/>
              <w:autoSpaceDN w:val="0"/>
              <w:adjustRightInd w:val="0"/>
              <w:jc w:val="center"/>
              <w:rPr>
                <w:rFonts w:eastAsiaTheme="minorEastAsia"/>
              </w:rPr>
            </w:pPr>
          </w:p>
        </w:tc>
        <w:tc>
          <w:tcPr>
            <w:tcW w:w="2268" w:type="dxa"/>
            <w:shd w:val="clear" w:color="auto" w:fill="auto"/>
          </w:tcPr>
          <w:p w:rsidR="00796FAE" w:rsidRPr="004D362D" w:rsidRDefault="00796FAE" w:rsidP="00521048">
            <w:pPr>
              <w:pStyle w:val="ConsPlusNormal"/>
              <w:jc w:val="both"/>
              <w:rPr>
                <w:sz w:val="20"/>
                <w:szCs w:val="20"/>
              </w:rPr>
            </w:pPr>
            <w:r w:rsidRPr="004D362D">
              <w:rPr>
                <w:sz w:val="20"/>
                <w:szCs w:val="20"/>
              </w:rPr>
              <w:t>протокол заседания Комиссии Комитета по соблюдению требований к служебному поведению государственных служащих и урегулированию конфликта интересов, в единицах</w:t>
            </w:r>
          </w:p>
        </w:tc>
        <w:tc>
          <w:tcPr>
            <w:tcW w:w="6460" w:type="dxa"/>
            <w:shd w:val="clear" w:color="auto" w:fill="auto"/>
          </w:tcPr>
          <w:p w:rsidR="00796FAE" w:rsidRPr="004D362D" w:rsidRDefault="00796FAE" w:rsidP="00EF268C">
            <w:pPr>
              <w:widowControl w:val="0"/>
              <w:jc w:val="both"/>
            </w:pPr>
            <w:r w:rsidRPr="004D362D">
              <w:t xml:space="preserve">Приказами Комитета утверждены Положение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 и ее состав. Деятельность Комиссии выстраивается в соответствии с федеральными и региональными законодательными и нормативными актами, также методическими рекомендациями, разработанными для обеспечения ее эффективной работы. В отчетном периоде основания для проведения заседания отсутствуют. </w:t>
            </w:r>
          </w:p>
        </w:tc>
      </w:tr>
      <w:tr w:rsidR="00EF268C" w:rsidRPr="004D362D" w:rsidTr="007A5206">
        <w:trPr>
          <w:trHeight w:val="276"/>
          <w:tblHeader/>
        </w:trPr>
        <w:tc>
          <w:tcPr>
            <w:tcW w:w="4928" w:type="dxa"/>
            <w:shd w:val="clear" w:color="auto" w:fill="auto"/>
          </w:tcPr>
          <w:p w:rsidR="00EF268C" w:rsidRPr="004D362D" w:rsidRDefault="00EF268C" w:rsidP="00796FAE">
            <w:pPr>
              <w:pStyle w:val="ConsPlusNormal"/>
              <w:jc w:val="both"/>
              <w:rPr>
                <w:sz w:val="20"/>
                <w:szCs w:val="20"/>
              </w:rPr>
            </w:pPr>
            <w:r w:rsidRPr="004D362D">
              <w:rPr>
                <w:sz w:val="20"/>
                <w:szCs w:val="20"/>
              </w:rPr>
              <w:t>1.5. Размещение в соответствии с законодательством на сайте Комитета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p>
        </w:tc>
        <w:tc>
          <w:tcPr>
            <w:tcW w:w="2127" w:type="dxa"/>
            <w:shd w:val="clear" w:color="auto" w:fill="auto"/>
          </w:tcPr>
          <w:p w:rsidR="00EF268C" w:rsidRPr="004D362D" w:rsidRDefault="00EF268C"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EF268C" w:rsidRPr="004D362D" w:rsidRDefault="00EF268C" w:rsidP="00521048">
            <w:pPr>
              <w:autoSpaceDE w:val="0"/>
              <w:autoSpaceDN w:val="0"/>
              <w:adjustRightInd w:val="0"/>
              <w:jc w:val="center"/>
              <w:rPr>
                <w:rFonts w:eastAsiaTheme="minorEastAsia"/>
              </w:rPr>
            </w:pPr>
          </w:p>
        </w:tc>
        <w:tc>
          <w:tcPr>
            <w:tcW w:w="2268" w:type="dxa"/>
            <w:shd w:val="clear" w:color="auto" w:fill="auto"/>
          </w:tcPr>
          <w:p w:rsidR="00EF268C" w:rsidRPr="004D362D" w:rsidRDefault="00EF268C" w:rsidP="007A5206">
            <w:pPr>
              <w:pStyle w:val="ConsPlusNormal"/>
              <w:rPr>
                <w:sz w:val="20"/>
                <w:szCs w:val="20"/>
              </w:rPr>
            </w:pPr>
            <w:r w:rsidRPr="004D362D">
              <w:rPr>
                <w:sz w:val="20"/>
                <w:szCs w:val="20"/>
              </w:rPr>
              <w:t>размещение на сайте Комитета сведений о доходах, расходах, имуществе и обязательствах имущественного характера государственных гражданских служащих, в процентах</w:t>
            </w:r>
          </w:p>
        </w:tc>
        <w:tc>
          <w:tcPr>
            <w:tcW w:w="6460" w:type="dxa"/>
            <w:shd w:val="clear" w:color="auto" w:fill="auto"/>
          </w:tcPr>
          <w:p w:rsidR="00EF268C" w:rsidRPr="004D362D" w:rsidRDefault="00EF268C" w:rsidP="00EF268C">
            <w:pPr>
              <w:widowControl w:val="0"/>
              <w:jc w:val="both"/>
            </w:pPr>
            <w:r w:rsidRPr="004D362D">
              <w:t xml:space="preserve">Сведения о доходах, расходах, имуществе и обязательствах имущественного характера государственных гражданских служащих за 2018-2019 годы и руководителя подведомственного учреждения за 2018 год размещены на сайте Комитета в разделе «Противодействие коррупции» согласно правилам, установленным законодательством. </w:t>
            </w:r>
          </w:p>
        </w:tc>
      </w:tr>
      <w:tr w:rsidR="00EF268C" w:rsidRPr="004D362D" w:rsidTr="007A5206">
        <w:trPr>
          <w:trHeight w:val="276"/>
          <w:tblHeader/>
        </w:trPr>
        <w:tc>
          <w:tcPr>
            <w:tcW w:w="4928" w:type="dxa"/>
            <w:shd w:val="clear" w:color="auto" w:fill="auto"/>
          </w:tcPr>
          <w:p w:rsidR="00EF268C" w:rsidRPr="004D362D" w:rsidRDefault="00EF268C" w:rsidP="00521048">
            <w:pPr>
              <w:pStyle w:val="ConsPlusNormal"/>
              <w:jc w:val="both"/>
              <w:rPr>
                <w:sz w:val="20"/>
                <w:szCs w:val="20"/>
              </w:rPr>
            </w:pPr>
            <w:r w:rsidRPr="004D362D">
              <w:rPr>
                <w:sz w:val="20"/>
                <w:szCs w:val="20"/>
              </w:rPr>
              <w:t>1.7. Организация и проведение ротации государственных гражданских служащих в установленном порядке</w:t>
            </w:r>
          </w:p>
        </w:tc>
        <w:tc>
          <w:tcPr>
            <w:tcW w:w="2127" w:type="dxa"/>
            <w:shd w:val="clear" w:color="auto" w:fill="auto"/>
          </w:tcPr>
          <w:p w:rsidR="00EF268C" w:rsidRPr="004D362D" w:rsidRDefault="00EF268C" w:rsidP="00521048">
            <w:pPr>
              <w:pStyle w:val="ConsPlusNormal"/>
              <w:jc w:val="both"/>
              <w:rPr>
                <w:sz w:val="20"/>
                <w:szCs w:val="20"/>
              </w:rPr>
            </w:pPr>
            <w:r w:rsidRPr="004D362D">
              <w:rPr>
                <w:sz w:val="20"/>
                <w:szCs w:val="20"/>
              </w:rPr>
              <w:t>отдел правовой, организационной и кадровой работы</w:t>
            </w:r>
          </w:p>
        </w:tc>
        <w:tc>
          <w:tcPr>
            <w:tcW w:w="283" w:type="dxa"/>
            <w:shd w:val="clear" w:color="auto" w:fill="auto"/>
          </w:tcPr>
          <w:p w:rsidR="00EF268C" w:rsidRPr="004D362D" w:rsidRDefault="00EF268C" w:rsidP="00521048">
            <w:pPr>
              <w:autoSpaceDE w:val="0"/>
              <w:autoSpaceDN w:val="0"/>
              <w:adjustRightInd w:val="0"/>
              <w:jc w:val="center"/>
              <w:rPr>
                <w:rFonts w:eastAsiaTheme="minorEastAsia"/>
              </w:rPr>
            </w:pPr>
          </w:p>
        </w:tc>
        <w:tc>
          <w:tcPr>
            <w:tcW w:w="2268" w:type="dxa"/>
            <w:shd w:val="clear" w:color="auto" w:fill="auto"/>
          </w:tcPr>
          <w:p w:rsidR="00EF268C" w:rsidRPr="004D362D" w:rsidRDefault="00EF268C" w:rsidP="007A5206">
            <w:pPr>
              <w:autoSpaceDE w:val="0"/>
              <w:autoSpaceDN w:val="0"/>
              <w:adjustRightInd w:val="0"/>
              <w:rPr>
                <w:rFonts w:eastAsiaTheme="minorEastAsia"/>
              </w:rPr>
            </w:pPr>
            <w:r w:rsidRPr="004D362D">
              <w:rPr>
                <w:rFonts w:eastAsiaTheme="minorEastAsia"/>
              </w:rPr>
              <w:t>выполнение плана проведения ротации государственных гражданских служащих РТ, в процентах</w:t>
            </w:r>
          </w:p>
        </w:tc>
        <w:tc>
          <w:tcPr>
            <w:tcW w:w="6460" w:type="dxa"/>
            <w:shd w:val="clear" w:color="auto" w:fill="auto"/>
          </w:tcPr>
          <w:p w:rsidR="00EF268C" w:rsidRPr="004D362D" w:rsidRDefault="00EF268C" w:rsidP="00EF268C">
            <w:pPr>
              <w:widowControl w:val="0"/>
            </w:pPr>
            <w:r w:rsidRPr="004D362D">
              <w:t xml:space="preserve">Ротация государственных гражданских служащих Комитета в отчетном периоде не проводилась. </w:t>
            </w:r>
          </w:p>
          <w:p w:rsidR="00EF268C" w:rsidRPr="004D362D" w:rsidRDefault="00EF268C" w:rsidP="00EF268C">
            <w:pPr>
              <w:widowControl w:val="0"/>
            </w:pPr>
          </w:p>
        </w:tc>
      </w:tr>
      <w:tr w:rsidR="004D362D" w:rsidRPr="004D362D" w:rsidTr="007A5206">
        <w:trPr>
          <w:trHeight w:val="276"/>
          <w:tblHeader/>
        </w:trPr>
        <w:tc>
          <w:tcPr>
            <w:tcW w:w="4928" w:type="dxa"/>
            <w:shd w:val="clear" w:color="auto" w:fill="auto"/>
          </w:tcPr>
          <w:p w:rsidR="00A81F9F" w:rsidRPr="004D362D" w:rsidRDefault="00A81F9F" w:rsidP="00521048">
            <w:pPr>
              <w:autoSpaceDE w:val="0"/>
              <w:autoSpaceDN w:val="0"/>
              <w:adjustRightInd w:val="0"/>
              <w:jc w:val="both"/>
            </w:pPr>
            <w:r w:rsidRPr="004D362D">
              <w:t>1.8. Обеспечение утверждения и последующего исполнения годового плана работы комиссии при председателе Комитета по противодействию коррупции</w:t>
            </w:r>
          </w:p>
        </w:tc>
        <w:tc>
          <w:tcPr>
            <w:tcW w:w="2127" w:type="dxa"/>
            <w:shd w:val="clear" w:color="auto" w:fill="auto"/>
          </w:tcPr>
          <w:p w:rsidR="00A81F9F" w:rsidRPr="004D362D" w:rsidRDefault="00A81F9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 - секретарь комиссии, Комиссия при председателе Комитета по противодействию коррупции</w:t>
            </w:r>
          </w:p>
        </w:tc>
        <w:tc>
          <w:tcPr>
            <w:tcW w:w="283" w:type="dxa"/>
            <w:shd w:val="clear" w:color="auto" w:fill="auto"/>
          </w:tcPr>
          <w:p w:rsidR="00A81F9F" w:rsidRPr="004D362D" w:rsidRDefault="00A81F9F" w:rsidP="00521048">
            <w:pPr>
              <w:autoSpaceDE w:val="0"/>
              <w:autoSpaceDN w:val="0"/>
              <w:adjustRightInd w:val="0"/>
              <w:jc w:val="center"/>
              <w:rPr>
                <w:rFonts w:eastAsiaTheme="minorEastAsia"/>
              </w:rPr>
            </w:pPr>
          </w:p>
        </w:tc>
        <w:tc>
          <w:tcPr>
            <w:tcW w:w="2268" w:type="dxa"/>
            <w:shd w:val="clear" w:color="auto" w:fill="auto"/>
          </w:tcPr>
          <w:p w:rsidR="00A81F9F" w:rsidRPr="004D362D" w:rsidRDefault="00A81F9F" w:rsidP="007A5206">
            <w:pPr>
              <w:widowControl w:val="0"/>
            </w:pPr>
            <w:r w:rsidRPr="004D362D">
              <w:t xml:space="preserve">проведение заседаний Комиссии при председателе Комитета по противодействию коррупции, в единицах </w:t>
            </w:r>
          </w:p>
        </w:tc>
        <w:tc>
          <w:tcPr>
            <w:tcW w:w="6460" w:type="dxa"/>
            <w:shd w:val="clear" w:color="auto" w:fill="auto"/>
          </w:tcPr>
          <w:p w:rsidR="00A81F9F" w:rsidRPr="004D362D" w:rsidRDefault="00A81F9F" w:rsidP="00A81F9F">
            <w:pPr>
              <w:widowControl w:val="0"/>
              <w:jc w:val="both"/>
            </w:pPr>
            <w:r w:rsidRPr="004D362D">
              <w:t>План работы Комиссии при председателе Комитета по противодействию коррупции на 2020 год утвержден (приказ Комитета от 10.01.2020 №1.1-П). В 2020 году планируется проведение не менее четырех заседаний. В связи с объявленным особым санитарно-эпидемиологическим режимом заседание Комиссии, запланированное на конец марта, перенесено на более поздний срок. В повестку дня очередного заседания комиссии, проведенного 25.06.2020 включены вопросы, которые планировалось рассмотреть в 1 и 2 квартале. Всего 11 пунктов.</w:t>
            </w:r>
          </w:p>
        </w:tc>
      </w:tr>
      <w:tr w:rsidR="00EF268C" w:rsidRPr="004D362D" w:rsidTr="007A5206">
        <w:trPr>
          <w:trHeight w:val="276"/>
          <w:tblHeader/>
        </w:trPr>
        <w:tc>
          <w:tcPr>
            <w:tcW w:w="16066" w:type="dxa"/>
            <w:gridSpan w:val="5"/>
            <w:shd w:val="clear" w:color="auto" w:fill="auto"/>
          </w:tcPr>
          <w:p w:rsidR="00695BAF" w:rsidRPr="004D362D" w:rsidRDefault="00695BAF" w:rsidP="00521048">
            <w:pPr>
              <w:autoSpaceDE w:val="0"/>
              <w:autoSpaceDN w:val="0"/>
              <w:adjustRightInd w:val="0"/>
              <w:jc w:val="center"/>
              <w:rPr>
                <w:rFonts w:eastAsiaTheme="minorEastAsia"/>
              </w:rPr>
            </w:pPr>
            <w:r w:rsidRPr="004D362D">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A81F9F" w:rsidRPr="004D362D" w:rsidTr="007A5206">
        <w:trPr>
          <w:trHeight w:val="276"/>
          <w:tblHeader/>
        </w:trPr>
        <w:tc>
          <w:tcPr>
            <w:tcW w:w="4928" w:type="dxa"/>
            <w:shd w:val="clear" w:color="auto" w:fill="auto"/>
          </w:tcPr>
          <w:p w:rsidR="00A81F9F" w:rsidRPr="004D362D" w:rsidRDefault="00A81F9F" w:rsidP="00521048">
            <w:pPr>
              <w:widowControl w:val="0"/>
            </w:pPr>
            <w:r w:rsidRPr="004D362D">
              <w:t>2.1. Создание необходимых условий для проведения независимой антикоррупционной экспертизы проектов нормативных правовых актов</w:t>
            </w:r>
          </w:p>
          <w:p w:rsidR="00A81F9F" w:rsidRPr="004D362D" w:rsidRDefault="00A81F9F" w:rsidP="00521048">
            <w:pPr>
              <w:pStyle w:val="ConsPlusNormal"/>
              <w:jc w:val="both"/>
              <w:rPr>
                <w:rFonts w:eastAsia="Times New Roman"/>
                <w:sz w:val="20"/>
                <w:szCs w:val="20"/>
              </w:rPr>
            </w:pPr>
          </w:p>
        </w:tc>
        <w:tc>
          <w:tcPr>
            <w:tcW w:w="2127" w:type="dxa"/>
            <w:shd w:val="clear" w:color="auto" w:fill="auto"/>
          </w:tcPr>
          <w:p w:rsidR="00A81F9F" w:rsidRPr="004D362D" w:rsidRDefault="00A81F9F" w:rsidP="00521048">
            <w:pPr>
              <w:autoSpaceDE w:val="0"/>
              <w:autoSpaceDN w:val="0"/>
              <w:adjustRightInd w:val="0"/>
              <w:jc w:val="center"/>
            </w:pPr>
            <w:r w:rsidRPr="004D362D">
              <w:t>отдел правовой, организационной и кадровой работы</w:t>
            </w:r>
          </w:p>
        </w:tc>
        <w:tc>
          <w:tcPr>
            <w:tcW w:w="283" w:type="dxa"/>
            <w:shd w:val="clear" w:color="auto" w:fill="auto"/>
          </w:tcPr>
          <w:p w:rsidR="00A81F9F" w:rsidRPr="004D362D" w:rsidRDefault="00A81F9F" w:rsidP="00521048">
            <w:pPr>
              <w:autoSpaceDE w:val="0"/>
              <w:autoSpaceDN w:val="0"/>
              <w:adjustRightInd w:val="0"/>
              <w:jc w:val="center"/>
              <w:rPr>
                <w:rFonts w:eastAsiaTheme="minorEastAsia"/>
              </w:rPr>
            </w:pPr>
          </w:p>
        </w:tc>
        <w:tc>
          <w:tcPr>
            <w:tcW w:w="2268" w:type="dxa"/>
            <w:shd w:val="clear" w:color="auto" w:fill="auto"/>
          </w:tcPr>
          <w:p w:rsidR="00A81F9F" w:rsidRPr="004D362D" w:rsidRDefault="00A81F9F" w:rsidP="00521048">
            <w:pPr>
              <w:pStyle w:val="ConsPlusNormal"/>
              <w:jc w:val="both"/>
              <w:rPr>
                <w:rFonts w:eastAsia="Times New Roman"/>
                <w:sz w:val="20"/>
                <w:szCs w:val="20"/>
              </w:rPr>
            </w:pPr>
            <w:r w:rsidRPr="004D362D">
              <w:rPr>
                <w:rFonts w:eastAsia="Times New Roman"/>
                <w:sz w:val="20"/>
                <w:szCs w:val="20"/>
              </w:rPr>
              <w:t>наличие приказа об утверждении порядка проведения антикоррупционной экспертизы нормативных правовых актов и проектов и его исполнение</w:t>
            </w:r>
          </w:p>
        </w:tc>
        <w:tc>
          <w:tcPr>
            <w:tcW w:w="6460" w:type="dxa"/>
            <w:shd w:val="clear" w:color="auto" w:fill="auto"/>
          </w:tcPr>
          <w:p w:rsidR="00A81F9F" w:rsidRPr="004D362D" w:rsidRDefault="00A81F9F" w:rsidP="005217C6">
            <w:pPr>
              <w:widowControl w:val="0"/>
              <w:jc w:val="both"/>
            </w:pPr>
            <w:r w:rsidRPr="004D362D">
              <w:t>Порядок проведения антикоррупционной экспертизы нормативных правовых актов и проектов нормативных правовых актов Комитета утвержден приказом от 29.12.2018 №148.</w:t>
            </w:r>
          </w:p>
          <w:p w:rsidR="00A81F9F" w:rsidRPr="004D362D" w:rsidRDefault="00A81F9F" w:rsidP="00A81F9F">
            <w:pPr>
              <w:autoSpaceDE w:val="0"/>
              <w:autoSpaceDN w:val="0"/>
              <w:adjustRightInd w:val="0"/>
              <w:jc w:val="both"/>
            </w:pPr>
            <w:r w:rsidRPr="004D362D">
              <w:t xml:space="preserve">Проекты для проведения антикоррупционной экспертизы нормативных правовых актов и проектов нормативных правовых актов размещены на официальном сайте Комитета в разделе «Противодействие коррупции». </w:t>
            </w:r>
          </w:p>
        </w:tc>
      </w:tr>
      <w:tr w:rsidR="004D362D" w:rsidRPr="004D362D" w:rsidTr="007A5206">
        <w:trPr>
          <w:trHeight w:val="276"/>
          <w:tblHeader/>
        </w:trPr>
        <w:tc>
          <w:tcPr>
            <w:tcW w:w="4928" w:type="dxa"/>
            <w:shd w:val="clear" w:color="auto" w:fill="auto"/>
          </w:tcPr>
          <w:p w:rsidR="00A81F9F" w:rsidRPr="004D362D" w:rsidRDefault="00A81F9F" w:rsidP="00521048">
            <w:pPr>
              <w:pStyle w:val="ConsPlusNormal"/>
              <w:jc w:val="both"/>
              <w:rPr>
                <w:rFonts w:eastAsia="Times New Roman"/>
                <w:sz w:val="20"/>
                <w:szCs w:val="20"/>
              </w:rPr>
            </w:pPr>
            <w:r w:rsidRPr="004D362D">
              <w:rPr>
                <w:rFonts w:eastAsia="Times New Roman"/>
                <w:sz w:val="20"/>
                <w:szCs w:val="20"/>
              </w:rPr>
              <w:t xml:space="preserve">2.2. Проведение антикоррупционной экспертизы нормативных правовых актов и проектов нормативных правовых актов, ежегодное обобщения результатов ее проведения </w:t>
            </w:r>
          </w:p>
        </w:tc>
        <w:tc>
          <w:tcPr>
            <w:tcW w:w="2127" w:type="dxa"/>
            <w:shd w:val="clear" w:color="auto" w:fill="auto"/>
          </w:tcPr>
          <w:p w:rsidR="00A81F9F" w:rsidRPr="004D362D" w:rsidRDefault="00A81F9F" w:rsidP="00521048">
            <w:pPr>
              <w:autoSpaceDE w:val="0"/>
              <w:autoSpaceDN w:val="0"/>
              <w:adjustRightInd w:val="0"/>
              <w:jc w:val="center"/>
            </w:pPr>
            <w:r w:rsidRPr="004D362D">
              <w:t>отдел правовой, организационной и кадровой работы</w:t>
            </w:r>
          </w:p>
        </w:tc>
        <w:tc>
          <w:tcPr>
            <w:tcW w:w="283" w:type="dxa"/>
            <w:shd w:val="clear" w:color="auto" w:fill="auto"/>
          </w:tcPr>
          <w:p w:rsidR="00A81F9F" w:rsidRPr="004D362D" w:rsidRDefault="00A81F9F" w:rsidP="00521048">
            <w:pPr>
              <w:autoSpaceDE w:val="0"/>
              <w:autoSpaceDN w:val="0"/>
              <w:adjustRightInd w:val="0"/>
              <w:jc w:val="center"/>
              <w:rPr>
                <w:rFonts w:eastAsiaTheme="minorEastAsia"/>
              </w:rPr>
            </w:pPr>
          </w:p>
        </w:tc>
        <w:tc>
          <w:tcPr>
            <w:tcW w:w="2268" w:type="dxa"/>
            <w:shd w:val="clear" w:color="auto" w:fill="auto"/>
          </w:tcPr>
          <w:p w:rsidR="00A81F9F" w:rsidRPr="004D362D" w:rsidRDefault="00A81F9F" w:rsidP="00521048">
            <w:pPr>
              <w:pStyle w:val="ConsPlusNormal"/>
              <w:jc w:val="both"/>
              <w:rPr>
                <w:rFonts w:eastAsia="Times New Roman"/>
                <w:sz w:val="20"/>
                <w:szCs w:val="20"/>
              </w:rPr>
            </w:pPr>
            <w:r w:rsidRPr="004D362D">
              <w:rPr>
                <w:rFonts w:eastAsia="Times New Roman"/>
                <w:sz w:val="20"/>
                <w:szCs w:val="20"/>
              </w:rPr>
              <w:t xml:space="preserve">доля нормативных правовых актов, подвергнутых антикоррупционной экспертизе на стадии разработки их проектов, </w:t>
            </w:r>
            <w:r w:rsidRPr="004D362D">
              <w:rPr>
                <w:sz w:val="20"/>
                <w:szCs w:val="20"/>
              </w:rPr>
              <w:t>в процентах</w:t>
            </w:r>
          </w:p>
        </w:tc>
        <w:tc>
          <w:tcPr>
            <w:tcW w:w="6460" w:type="dxa"/>
            <w:shd w:val="clear" w:color="auto" w:fill="auto"/>
          </w:tcPr>
          <w:p w:rsidR="00846EC6" w:rsidRPr="004D362D" w:rsidRDefault="00846EC6" w:rsidP="005217C6">
            <w:pPr>
              <w:widowControl w:val="0"/>
              <w:jc w:val="both"/>
            </w:pPr>
            <w:r w:rsidRPr="004D362D">
              <w:t xml:space="preserve">На все нормативные правовые акты проведена экспертиза (34 приказа). </w:t>
            </w:r>
          </w:p>
          <w:p w:rsidR="00A81F9F" w:rsidRPr="004D362D" w:rsidRDefault="00A81F9F" w:rsidP="005217C6">
            <w:pPr>
              <w:widowControl w:val="0"/>
              <w:jc w:val="both"/>
            </w:pPr>
            <w:r w:rsidRPr="004D362D">
              <w:t xml:space="preserve">Имеются данные о дате начала и окончания сроков проведения независимой антикоррупционной экспертизы, разработчике проекта, контактные данные ответственного лица. </w:t>
            </w:r>
          </w:p>
          <w:p w:rsidR="00A81F9F" w:rsidRPr="004D362D" w:rsidRDefault="00A81F9F" w:rsidP="005217C6">
            <w:pPr>
              <w:widowControl w:val="0"/>
              <w:jc w:val="both"/>
            </w:pPr>
            <w:r w:rsidRPr="004D362D">
              <w:t>Заключений от независимых экспертов в адрес Комитета в отчетном периоде 2020 года не поступало.</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2.3. Обобщение результатов проведения антикоррупционной экспертизы нормативных правовых актов и проектов нормативных правовых актов</w:t>
            </w:r>
          </w:p>
        </w:tc>
        <w:tc>
          <w:tcPr>
            <w:tcW w:w="2127" w:type="dxa"/>
            <w:shd w:val="clear" w:color="auto" w:fill="auto"/>
          </w:tcPr>
          <w:p w:rsidR="00695BAF" w:rsidRPr="004D362D" w:rsidRDefault="00695BAF" w:rsidP="00521048">
            <w:pPr>
              <w:autoSpaceDE w:val="0"/>
              <w:autoSpaceDN w:val="0"/>
              <w:adjustRightInd w:val="0"/>
              <w:jc w:val="center"/>
            </w:pPr>
            <w:r w:rsidRPr="004D362D">
              <w:t>отдел правовой, организационной и кадровой работы</w:t>
            </w:r>
          </w:p>
        </w:tc>
        <w:tc>
          <w:tcPr>
            <w:tcW w:w="283" w:type="dxa"/>
            <w:shd w:val="clear" w:color="auto" w:fill="auto"/>
          </w:tcPr>
          <w:p w:rsidR="00695BAF" w:rsidRPr="004D362D" w:rsidRDefault="00695BAF" w:rsidP="00521048">
            <w:pPr>
              <w:autoSpaceDE w:val="0"/>
              <w:autoSpaceDN w:val="0"/>
              <w:adjustRightInd w:val="0"/>
              <w:jc w:val="center"/>
              <w:rPr>
                <w:rFonts w:eastAsiaTheme="minorEastAsia"/>
              </w:rPr>
            </w:pPr>
          </w:p>
        </w:tc>
        <w:tc>
          <w:tcPr>
            <w:tcW w:w="2268"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 xml:space="preserve">информация о результатах проведения антикоррупционной экспертизы, в единицах </w:t>
            </w:r>
          </w:p>
        </w:tc>
        <w:tc>
          <w:tcPr>
            <w:tcW w:w="6460" w:type="dxa"/>
            <w:shd w:val="clear" w:color="auto" w:fill="auto"/>
          </w:tcPr>
          <w:p w:rsidR="00695BAF" w:rsidRPr="004D362D" w:rsidRDefault="00695BAF" w:rsidP="00E629A0">
            <w:pPr>
              <w:autoSpaceDE w:val="0"/>
              <w:autoSpaceDN w:val="0"/>
              <w:adjustRightInd w:val="0"/>
              <w:jc w:val="both"/>
            </w:pPr>
            <w:r w:rsidRPr="004D362D">
              <w:t>Информация о результатах проведения антикоррупционной экспертизы обобщается ежеквартально</w:t>
            </w:r>
            <w:r w:rsidR="001A7038" w:rsidRPr="004D362D">
              <w:t>.</w:t>
            </w:r>
          </w:p>
        </w:tc>
      </w:tr>
      <w:tr w:rsidR="00EF268C" w:rsidRPr="004D362D" w:rsidTr="007A5206">
        <w:trPr>
          <w:trHeight w:val="276"/>
          <w:tblHeader/>
        </w:trPr>
        <w:tc>
          <w:tcPr>
            <w:tcW w:w="4928" w:type="dxa"/>
            <w:shd w:val="clear" w:color="auto" w:fill="auto"/>
          </w:tcPr>
          <w:p w:rsidR="00695BAF" w:rsidRPr="004D362D" w:rsidRDefault="00695BAF" w:rsidP="007A5206">
            <w:pPr>
              <w:pStyle w:val="ConsPlusNormal"/>
              <w:jc w:val="both"/>
              <w:rPr>
                <w:sz w:val="20"/>
                <w:szCs w:val="20"/>
              </w:rPr>
            </w:pPr>
            <w:r w:rsidRPr="004D362D">
              <w:rPr>
                <w:sz w:val="20"/>
                <w:szCs w:val="20"/>
              </w:rPr>
              <w:t>2.4. Размещение на официальном сайте Комитета в разделе "Независимая антикоррупционная экспертиза" проектов нормативных правовых актов с опубликованием следующих данных: дата начала экспертизы, дата окончания экспертизы, контактные данные разработчика (Ф.И.О. ответственного лица, должность, телефон, адреса электронной почты, дополнительная информация)</w:t>
            </w:r>
          </w:p>
        </w:tc>
        <w:tc>
          <w:tcPr>
            <w:tcW w:w="2127" w:type="dxa"/>
            <w:shd w:val="clear" w:color="auto" w:fill="auto"/>
          </w:tcPr>
          <w:p w:rsidR="00695BAF" w:rsidRPr="004D362D" w:rsidRDefault="00695BAF" w:rsidP="00521048">
            <w:pPr>
              <w:autoSpaceDE w:val="0"/>
              <w:autoSpaceDN w:val="0"/>
              <w:adjustRightInd w:val="0"/>
              <w:jc w:val="center"/>
            </w:pPr>
            <w:r w:rsidRPr="004D362D">
              <w:t>отдел правовой, организационной и кадровой работы</w:t>
            </w:r>
          </w:p>
        </w:tc>
        <w:tc>
          <w:tcPr>
            <w:tcW w:w="283" w:type="dxa"/>
            <w:shd w:val="clear" w:color="auto" w:fill="auto"/>
          </w:tcPr>
          <w:p w:rsidR="00695BAF" w:rsidRPr="004D362D" w:rsidRDefault="00695BAF" w:rsidP="00521048">
            <w:pPr>
              <w:autoSpaceDE w:val="0"/>
              <w:autoSpaceDN w:val="0"/>
              <w:adjustRightInd w:val="0"/>
              <w:jc w:val="center"/>
              <w:rPr>
                <w:rFonts w:eastAsiaTheme="minorEastAsia"/>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в соответствии с требованиями законодательных и нормативных актов, в процентах</w:t>
            </w:r>
          </w:p>
        </w:tc>
        <w:tc>
          <w:tcPr>
            <w:tcW w:w="6460" w:type="dxa"/>
            <w:shd w:val="clear" w:color="auto" w:fill="auto"/>
          </w:tcPr>
          <w:p w:rsidR="00695BAF" w:rsidRPr="004D362D" w:rsidRDefault="00695BAF" w:rsidP="001A7038">
            <w:pPr>
              <w:autoSpaceDE w:val="0"/>
              <w:autoSpaceDN w:val="0"/>
              <w:adjustRightInd w:val="0"/>
              <w:jc w:val="both"/>
            </w:pPr>
            <w:r w:rsidRPr="004D362D">
              <w:t>В соответствии с требованиями законодательных</w:t>
            </w:r>
            <w:r w:rsidR="001A7038" w:rsidRPr="004D362D">
              <w:t xml:space="preserve"> и нормативных актов </w:t>
            </w:r>
            <w:r w:rsidR="00846EC6" w:rsidRPr="004D362D">
              <w:t xml:space="preserve">на сайте Комитета в разделе «Противодействие коррупции» </w:t>
            </w:r>
            <w:r w:rsidR="001A7038" w:rsidRPr="004D362D">
              <w:t xml:space="preserve">размещено </w:t>
            </w:r>
            <w:r w:rsidR="00846EC6" w:rsidRPr="004D362D">
              <w:t>34</w:t>
            </w:r>
            <w:r w:rsidRPr="004D362D">
              <w:t xml:space="preserve"> проект</w:t>
            </w:r>
            <w:r w:rsidR="00846EC6" w:rsidRPr="004D362D">
              <w:t>а</w:t>
            </w:r>
            <w:r w:rsidRPr="004D362D">
              <w:t xml:space="preserve"> нормативных правовых актов Комитета</w:t>
            </w:r>
          </w:p>
          <w:p w:rsidR="001A7038" w:rsidRPr="004D362D" w:rsidRDefault="001A7038" w:rsidP="001A7038">
            <w:pPr>
              <w:widowControl w:val="0"/>
              <w:spacing w:line="235" w:lineRule="auto"/>
              <w:jc w:val="both"/>
            </w:pPr>
            <w:r w:rsidRPr="004D362D">
              <w:t xml:space="preserve">Имеются данные о дате начала и окончания сроков проведения независимой антикоррупционной экспертизы, разработчике проекта, контактные данные ответственного лица. </w:t>
            </w:r>
          </w:p>
          <w:p w:rsidR="001A7038" w:rsidRPr="004D362D" w:rsidRDefault="001A7038" w:rsidP="001A7038">
            <w:pPr>
              <w:autoSpaceDE w:val="0"/>
              <w:autoSpaceDN w:val="0"/>
              <w:adjustRightInd w:val="0"/>
              <w:jc w:val="both"/>
            </w:pPr>
          </w:p>
        </w:tc>
      </w:tr>
      <w:tr w:rsidR="00EF268C" w:rsidRPr="004D362D" w:rsidTr="007A5206">
        <w:trPr>
          <w:trHeight w:val="276"/>
          <w:tblHeader/>
        </w:trPr>
        <w:tc>
          <w:tcPr>
            <w:tcW w:w="16066" w:type="dxa"/>
            <w:gridSpan w:val="5"/>
            <w:shd w:val="clear" w:color="auto" w:fill="auto"/>
          </w:tcPr>
          <w:p w:rsidR="00695BAF" w:rsidRPr="004D362D" w:rsidRDefault="00695BAF" w:rsidP="007613DD">
            <w:r w:rsidRPr="004D362D">
              <w:rPr>
                <w:rFonts w:eastAsiaTheme="minorEastAsia"/>
              </w:rPr>
              <w:t>Задача 3. Оценка состояния коррупции посредством проведения мониторинговых исследований (Антикоррупционный мониторинг в Республике Татарстан)</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3.1. Представление информационных материалов и сведений по показателям антикоррупционного мониторинга в соответствии с законодательством</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отдел правовой, организационной и кадровой работы;</w:t>
            </w:r>
          </w:p>
          <w:p w:rsidR="00695BAF" w:rsidRPr="004D362D" w:rsidRDefault="00695BAF" w:rsidP="00521048">
            <w:pPr>
              <w:pStyle w:val="ConsPlusNormal"/>
              <w:jc w:val="both"/>
              <w:rPr>
                <w:sz w:val="20"/>
                <w:szCs w:val="20"/>
              </w:rPr>
            </w:pPr>
            <w:r w:rsidRPr="004D362D">
              <w:rPr>
                <w:sz w:val="20"/>
                <w:szCs w:val="20"/>
              </w:rPr>
              <w:t xml:space="preserve"> отдел администрирования и бухгалтерского учета; 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autoSpaceDE w:val="0"/>
              <w:autoSpaceDN w:val="0"/>
              <w:adjustRightInd w:val="0"/>
              <w:jc w:val="center"/>
              <w:rPr>
                <w:rFonts w:eastAsiaTheme="minorEastAsia"/>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Полнота исполнения государственного задания на организацию социологических опросов, в процентах</w:t>
            </w:r>
          </w:p>
        </w:tc>
        <w:tc>
          <w:tcPr>
            <w:tcW w:w="6460" w:type="dxa"/>
            <w:shd w:val="clear" w:color="auto" w:fill="auto"/>
          </w:tcPr>
          <w:p w:rsidR="001A7038" w:rsidRPr="004D362D" w:rsidRDefault="00695BAF" w:rsidP="007A5206">
            <w:pPr>
              <w:widowControl w:val="0"/>
            </w:pPr>
            <w:r w:rsidRPr="004D362D">
              <w:t>Результаты мониторинга эффективности деятельности Комитета по реализации антикоррупционных мер предоставляется в Комитет Республики Татарстан по социально-экономическому мони</w:t>
            </w:r>
            <w:r w:rsidR="00590A29" w:rsidRPr="004D362D">
              <w:t xml:space="preserve">торингу </w:t>
            </w:r>
            <w:r w:rsidRPr="004D362D">
              <w:t xml:space="preserve"> </w:t>
            </w:r>
            <w:r w:rsidR="001A7038" w:rsidRPr="004D362D">
              <w:t>каждое полугодие.</w:t>
            </w:r>
          </w:p>
          <w:p w:rsidR="00695BAF" w:rsidRPr="004D362D" w:rsidRDefault="001A7038" w:rsidP="001A7038">
            <w:pPr>
              <w:widowControl w:val="0"/>
            </w:pPr>
            <w:r w:rsidRPr="004D362D">
              <w:t>О</w:t>
            </w:r>
            <w:r w:rsidR="00695BAF" w:rsidRPr="004D362D">
              <w:t xml:space="preserve">тчеты о ходе реализации антикоррупционных мероприятий </w:t>
            </w:r>
            <w:r w:rsidRPr="004D362D">
              <w:t>предоставляются</w:t>
            </w:r>
            <w:r w:rsidR="00695BAF" w:rsidRPr="004D362D">
              <w:t xml:space="preserve"> в Министерство юстиции Республики Татарстан</w:t>
            </w:r>
            <w:r w:rsidRPr="004D362D">
              <w:t xml:space="preserve"> ежеквартально</w:t>
            </w:r>
            <w:r w:rsidR="00695BAF" w:rsidRPr="004D362D">
              <w:t>.</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3.2. Участие в совещаниях с представителями исполнительных органов государственной власти по вопросам организации и проведения антикоррупционного мониторинга</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autoSpaceDE w:val="0"/>
              <w:autoSpaceDN w:val="0"/>
              <w:adjustRightInd w:val="0"/>
              <w:jc w:val="center"/>
              <w:rPr>
                <w:rFonts w:eastAsiaTheme="minorEastAsia"/>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частота участия, в единицах</w:t>
            </w:r>
          </w:p>
        </w:tc>
        <w:tc>
          <w:tcPr>
            <w:tcW w:w="6460" w:type="dxa"/>
            <w:shd w:val="clear" w:color="auto" w:fill="auto"/>
          </w:tcPr>
          <w:p w:rsidR="00695BAF" w:rsidRPr="004D362D" w:rsidRDefault="00695BAF" w:rsidP="00E629A0">
            <w:pPr>
              <w:autoSpaceDE w:val="0"/>
              <w:autoSpaceDN w:val="0"/>
              <w:adjustRightInd w:val="0"/>
              <w:jc w:val="both"/>
              <w:rPr>
                <w:rFonts w:eastAsiaTheme="minorEastAsia"/>
              </w:rPr>
            </w:pPr>
            <w:r w:rsidRPr="004D362D">
              <w:rPr>
                <w:rFonts w:eastAsiaTheme="minorEastAsia"/>
              </w:rPr>
              <w:t>По мере поступления приглашений</w:t>
            </w:r>
            <w:r w:rsidR="00590A29" w:rsidRPr="004D362D">
              <w:rPr>
                <w:rFonts w:eastAsiaTheme="minorEastAsia"/>
              </w:rPr>
              <w:t xml:space="preserve">. </w:t>
            </w:r>
          </w:p>
        </w:tc>
      </w:tr>
      <w:tr w:rsidR="00EF268C" w:rsidRPr="004D362D" w:rsidTr="007A5206">
        <w:trPr>
          <w:trHeight w:val="276"/>
          <w:tblHeader/>
        </w:trPr>
        <w:tc>
          <w:tcPr>
            <w:tcW w:w="4928" w:type="dxa"/>
            <w:shd w:val="clear" w:color="auto" w:fill="auto"/>
          </w:tcPr>
          <w:p w:rsidR="00695BAF" w:rsidRPr="004D362D" w:rsidRDefault="00695BAF" w:rsidP="00521048">
            <w:pPr>
              <w:widowControl w:val="0"/>
              <w:jc w:val="both"/>
              <w:rPr>
                <w:rFonts w:eastAsiaTheme="minorEastAsia"/>
              </w:rPr>
            </w:pPr>
            <w:r w:rsidRPr="004D362D">
              <w:rPr>
                <w:rFonts w:eastAsiaTheme="minorEastAsia"/>
              </w:rPr>
              <w:t>3.3. Проведение анализа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autoSpaceDE w:val="0"/>
              <w:autoSpaceDN w:val="0"/>
              <w:adjustRightInd w:val="0"/>
              <w:jc w:val="center"/>
              <w:rPr>
                <w:rFonts w:eastAsiaTheme="minorEastAsia"/>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Анализ поступающей информации по телефонной «горячей линии», телефону доверия и ящика доверия по вопросам противодействия коррупции, в единицах</w:t>
            </w:r>
          </w:p>
        </w:tc>
        <w:tc>
          <w:tcPr>
            <w:tcW w:w="6460" w:type="dxa"/>
            <w:shd w:val="clear" w:color="auto" w:fill="auto"/>
          </w:tcPr>
          <w:p w:rsidR="00695BAF" w:rsidRPr="004D362D" w:rsidRDefault="00695BAF" w:rsidP="00B82705">
            <w:pPr>
              <w:widowControl w:val="0"/>
              <w:jc w:val="both"/>
            </w:pPr>
            <w:r w:rsidRPr="004D362D">
              <w:t>Поддерживая необходимость информационной прозрачности, доступности государственной власти и открытости принимаемых  решений, Комитетом организовано функционирование телефонной «горячей линии». Приказом Комитета утвержден Регламент функционирования телефона доверия и ящика доверия по вопросам противодействия коррупции</w:t>
            </w:r>
            <w:r w:rsidR="00590A29" w:rsidRPr="004D362D">
              <w:t xml:space="preserve"> (от 20.12.2018 №120)</w:t>
            </w:r>
            <w:r w:rsidRPr="004D362D">
              <w:t>. В отчетном периоде обращени</w:t>
            </w:r>
            <w:r w:rsidR="00B82705" w:rsidRPr="004D362D">
              <w:t>й</w:t>
            </w:r>
            <w:r w:rsidRPr="004D362D">
              <w:t xml:space="preserve"> по фактам коррупции не поступал</w:t>
            </w:r>
            <w:r w:rsidR="00B82705" w:rsidRPr="004D362D">
              <w:t>о</w:t>
            </w:r>
            <w:r w:rsidRPr="004D362D">
              <w:t>.</w:t>
            </w:r>
          </w:p>
        </w:tc>
      </w:tr>
      <w:tr w:rsidR="00EF268C" w:rsidRPr="004D362D" w:rsidTr="007A5206">
        <w:trPr>
          <w:trHeight w:val="276"/>
          <w:tblHeader/>
        </w:trPr>
        <w:tc>
          <w:tcPr>
            <w:tcW w:w="16066" w:type="dxa"/>
            <w:gridSpan w:val="5"/>
            <w:shd w:val="clear" w:color="auto" w:fill="auto"/>
          </w:tcPr>
          <w:p w:rsidR="00695BAF" w:rsidRPr="004D362D" w:rsidRDefault="00695BAF" w:rsidP="007A5206">
            <w:pPr>
              <w:autoSpaceDE w:val="0"/>
              <w:autoSpaceDN w:val="0"/>
              <w:adjustRightInd w:val="0"/>
              <w:jc w:val="both"/>
            </w:pPr>
            <w:r w:rsidRPr="004D362D">
              <w:t>Задача 4. Активизация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B03100" w:rsidRPr="004D362D" w:rsidTr="007A5206">
        <w:trPr>
          <w:trHeight w:val="276"/>
          <w:tblHeader/>
        </w:trPr>
        <w:tc>
          <w:tcPr>
            <w:tcW w:w="4928" w:type="dxa"/>
            <w:shd w:val="clear" w:color="auto" w:fill="auto"/>
          </w:tcPr>
          <w:p w:rsidR="00B03100" w:rsidRPr="004D362D" w:rsidRDefault="00B03100" w:rsidP="00521048">
            <w:pPr>
              <w:pStyle w:val="ConsPlusNormal"/>
              <w:jc w:val="both"/>
              <w:rPr>
                <w:rFonts w:eastAsia="Times New Roman"/>
                <w:sz w:val="20"/>
                <w:szCs w:val="20"/>
              </w:rPr>
            </w:pPr>
            <w:r w:rsidRPr="004D362D">
              <w:rPr>
                <w:rFonts w:eastAsia="Times New Roman"/>
                <w:sz w:val="20"/>
                <w:szCs w:val="20"/>
              </w:rPr>
              <w:lastRenderedPageBreak/>
              <w:t>4.1. Осуществление работы по формированию у служащих и работников Комитета отрицательного отношения к коррупции с привлечением к данной работе Общественного совета при Комитете, других институтов гражданского общества, участвующих в противодействии коррупции</w:t>
            </w:r>
          </w:p>
        </w:tc>
        <w:tc>
          <w:tcPr>
            <w:tcW w:w="2127" w:type="dxa"/>
            <w:shd w:val="clear" w:color="auto" w:fill="auto"/>
          </w:tcPr>
          <w:p w:rsidR="00B03100" w:rsidRPr="004D362D" w:rsidRDefault="00B03100" w:rsidP="00521048">
            <w:pPr>
              <w:pStyle w:val="ConsPlusNormal"/>
              <w:jc w:val="both"/>
              <w:rPr>
                <w:rFonts w:eastAsia="Times New Roman"/>
                <w:sz w:val="20"/>
                <w:szCs w:val="20"/>
              </w:rPr>
            </w:pPr>
            <w:r w:rsidRPr="004D362D">
              <w:rPr>
                <w:rFonts w:eastAsia="Times New Roman"/>
                <w:sz w:val="20"/>
                <w:szCs w:val="20"/>
              </w:rPr>
              <w:t>заместители председателя; начальники структурных подразделений; ответственное лицо за работу по профилактике коррупционных и иных правонарушений</w:t>
            </w:r>
          </w:p>
        </w:tc>
        <w:tc>
          <w:tcPr>
            <w:tcW w:w="283" w:type="dxa"/>
            <w:shd w:val="clear" w:color="auto" w:fill="auto"/>
          </w:tcPr>
          <w:p w:rsidR="00B03100" w:rsidRPr="004D362D" w:rsidRDefault="00B03100" w:rsidP="00521048">
            <w:pPr>
              <w:autoSpaceDE w:val="0"/>
              <w:autoSpaceDN w:val="0"/>
              <w:adjustRightInd w:val="0"/>
              <w:jc w:val="center"/>
            </w:pPr>
          </w:p>
        </w:tc>
        <w:tc>
          <w:tcPr>
            <w:tcW w:w="2268" w:type="dxa"/>
            <w:shd w:val="clear" w:color="auto" w:fill="auto"/>
          </w:tcPr>
          <w:p w:rsidR="00B03100" w:rsidRPr="004D362D" w:rsidRDefault="00B03100" w:rsidP="00521048">
            <w:pPr>
              <w:pStyle w:val="ConsPlusNormal"/>
              <w:jc w:val="both"/>
              <w:rPr>
                <w:sz w:val="20"/>
                <w:szCs w:val="20"/>
              </w:rPr>
            </w:pPr>
            <w:r w:rsidRPr="004D362D">
              <w:rPr>
                <w:sz w:val="20"/>
                <w:szCs w:val="20"/>
              </w:rPr>
              <w:t>доля работников Комитета, в отношении которых проведены антикоррупционные мероприятия, в процентах</w:t>
            </w:r>
          </w:p>
        </w:tc>
        <w:tc>
          <w:tcPr>
            <w:tcW w:w="6460" w:type="dxa"/>
            <w:shd w:val="clear" w:color="auto" w:fill="auto"/>
          </w:tcPr>
          <w:p w:rsidR="00B03100" w:rsidRPr="004D362D" w:rsidRDefault="00B03100" w:rsidP="005217C6">
            <w:pPr>
              <w:widowControl w:val="0"/>
              <w:jc w:val="both"/>
              <w:rPr>
                <w:rFonts w:eastAsiaTheme="minorEastAsia"/>
              </w:rPr>
            </w:pPr>
            <w:r w:rsidRPr="004D362D">
              <w:rPr>
                <w:rFonts w:eastAsiaTheme="minorEastAsia"/>
              </w:rPr>
              <w:t xml:space="preserve">В Комитете проводится разъяснительная работа о необходимости соблюдения ограничений и запретов при поступлении на государственную гражданскую службу. Информация по профилактике коррупционных правонарушений доводится до сведения гражданских служащих посредством электронного документооборота, на совещаниях, а также размещается в разделе «Противодействие коррупции» официального сайта Комитета. В период подготовки документов и заполнения сведений о доходах, расходах, имуществе и обязательствах имущественного характера для служащих в марте месяце проведен семинар. Также, в электронном виде, через «ВАТЦАП» всем госслужащим был направлен видео семинар о заполнении сведений о доходах, расходах, имуществе и обязательствах имущественного характера, подготовленный Управлением Президента Республики Татарстан по вопросам антикоррупционной политики (выступающий – Хайруллин А.И.). Госслужащие получают информацию о времени эфира передачи «Татарстан без коррупции» на телеканале ТНВ. </w:t>
            </w:r>
          </w:p>
          <w:p w:rsidR="00B03100" w:rsidRPr="004D362D" w:rsidRDefault="00B03100" w:rsidP="005217C6">
            <w:pPr>
              <w:widowControl w:val="0"/>
              <w:jc w:val="both"/>
              <w:rPr>
                <w:rFonts w:eastAsiaTheme="minorEastAsia"/>
              </w:rPr>
            </w:pPr>
            <w:r w:rsidRPr="004D362D">
              <w:rPr>
                <w:rFonts w:eastAsiaTheme="minorEastAsia"/>
              </w:rPr>
              <w:t xml:space="preserve">В деятельности Комитета по противодействию коррупции участвуют члены Общественного совета при Комитете. От общественных организаций информация может поступать как через электронную почту Комитета, так и по телефонам «горячей линии», Телефона доверия и ящика доверия. </w:t>
            </w:r>
          </w:p>
          <w:p w:rsidR="00B03100" w:rsidRPr="004D362D" w:rsidRDefault="00B03100" w:rsidP="005217C6">
            <w:pPr>
              <w:autoSpaceDE w:val="0"/>
              <w:autoSpaceDN w:val="0"/>
              <w:adjustRightInd w:val="0"/>
              <w:jc w:val="both"/>
              <w:rPr>
                <w:rFonts w:eastAsiaTheme="minorEastAsia"/>
              </w:rPr>
            </w:pPr>
            <w:r w:rsidRPr="004D362D">
              <w:rPr>
                <w:rFonts w:eastAsiaTheme="minorEastAsia"/>
              </w:rPr>
              <w:t>В отчетном периоде предложений от общественных организаций по электронной почте в Комитет не поступало.</w:t>
            </w:r>
          </w:p>
        </w:tc>
      </w:tr>
      <w:tr w:rsidR="004D362D" w:rsidRPr="004D362D" w:rsidTr="007A5206">
        <w:trPr>
          <w:trHeight w:val="276"/>
          <w:tblHeader/>
        </w:trPr>
        <w:tc>
          <w:tcPr>
            <w:tcW w:w="4928" w:type="dxa"/>
            <w:shd w:val="clear" w:color="auto" w:fill="auto"/>
          </w:tcPr>
          <w:p w:rsidR="00B03100" w:rsidRPr="004D362D" w:rsidRDefault="00B03100" w:rsidP="00521048">
            <w:pPr>
              <w:pStyle w:val="ConsPlusNormal"/>
              <w:jc w:val="both"/>
              <w:rPr>
                <w:sz w:val="20"/>
                <w:szCs w:val="20"/>
              </w:rPr>
            </w:pPr>
            <w:r w:rsidRPr="004D362D">
              <w:rPr>
                <w:sz w:val="20"/>
                <w:szCs w:val="20"/>
              </w:rPr>
              <w:t>4.2. Рассмотрение на заседаниях</w:t>
            </w:r>
            <w:r w:rsidRPr="004D362D">
              <w:rPr>
                <w:rFonts w:eastAsia="Times New Roman"/>
                <w:sz w:val="20"/>
                <w:szCs w:val="20"/>
              </w:rPr>
              <w:t xml:space="preserve"> Общественного совета при Комитете </w:t>
            </w:r>
            <w:r w:rsidRPr="004D362D">
              <w:rPr>
                <w:sz w:val="20"/>
                <w:szCs w:val="20"/>
              </w:rPr>
              <w:t xml:space="preserve">отчетов о реализации программ противодействия коррупции </w:t>
            </w:r>
          </w:p>
        </w:tc>
        <w:tc>
          <w:tcPr>
            <w:tcW w:w="2127" w:type="dxa"/>
            <w:shd w:val="clear" w:color="auto" w:fill="auto"/>
          </w:tcPr>
          <w:p w:rsidR="00B03100" w:rsidRPr="004D362D" w:rsidRDefault="00B03100" w:rsidP="00521048">
            <w:pPr>
              <w:pStyle w:val="ConsPlusNormal"/>
              <w:jc w:val="both"/>
              <w:rPr>
                <w:sz w:val="20"/>
                <w:szCs w:val="20"/>
              </w:rPr>
            </w:pPr>
            <w:r w:rsidRPr="004D362D">
              <w:rPr>
                <w:sz w:val="20"/>
                <w:szCs w:val="20"/>
              </w:rPr>
              <w:t>отдел правовой, организационной и кадровой работы;</w:t>
            </w:r>
          </w:p>
          <w:p w:rsidR="00B03100" w:rsidRPr="004D362D" w:rsidRDefault="00B03100" w:rsidP="00521048">
            <w:pPr>
              <w:pStyle w:val="ConsPlusNormal"/>
              <w:jc w:val="both"/>
              <w:rPr>
                <w:rFonts w:eastAsia="Times New Roman"/>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B03100" w:rsidRPr="004D362D" w:rsidRDefault="00B03100" w:rsidP="00521048">
            <w:pPr>
              <w:autoSpaceDE w:val="0"/>
              <w:autoSpaceDN w:val="0"/>
              <w:adjustRightInd w:val="0"/>
              <w:jc w:val="center"/>
            </w:pPr>
          </w:p>
        </w:tc>
        <w:tc>
          <w:tcPr>
            <w:tcW w:w="2268" w:type="dxa"/>
            <w:shd w:val="clear" w:color="auto" w:fill="auto"/>
          </w:tcPr>
          <w:p w:rsidR="00B03100" w:rsidRPr="004D362D" w:rsidRDefault="00B03100" w:rsidP="00521048">
            <w:pPr>
              <w:pStyle w:val="ConsPlusNormal"/>
              <w:jc w:val="both"/>
              <w:rPr>
                <w:sz w:val="20"/>
                <w:szCs w:val="20"/>
              </w:rPr>
            </w:pPr>
            <w:r w:rsidRPr="004D362D">
              <w:rPr>
                <w:sz w:val="20"/>
                <w:szCs w:val="20"/>
              </w:rPr>
              <w:t xml:space="preserve">внесение предложения о включении в план работы </w:t>
            </w:r>
            <w:r w:rsidRPr="004D362D">
              <w:rPr>
                <w:rFonts w:eastAsia="Times New Roman"/>
                <w:sz w:val="20"/>
                <w:szCs w:val="20"/>
              </w:rPr>
              <w:t xml:space="preserve">Общественного совета при Комитете </w:t>
            </w:r>
            <w:r w:rsidRPr="004D362D">
              <w:rPr>
                <w:sz w:val="20"/>
                <w:szCs w:val="20"/>
              </w:rPr>
              <w:t xml:space="preserve">отчетов о реализации программ противодействия коррупции, в единицах </w:t>
            </w:r>
          </w:p>
        </w:tc>
        <w:tc>
          <w:tcPr>
            <w:tcW w:w="6460" w:type="dxa"/>
            <w:shd w:val="clear" w:color="auto" w:fill="auto"/>
          </w:tcPr>
          <w:p w:rsidR="00B03100" w:rsidRPr="004D362D" w:rsidRDefault="00B03100" w:rsidP="005217C6">
            <w:pPr>
              <w:autoSpaceDE w:val="0"/>
              <w:autoSpaceDN w:val="0"/>
              <w:adjustRightInd w:val="0"/>
              <w:jc w:val="both"/>
            </w:pPr>
            <w:r w:rsidRPr="004D362D">
              <w:t xml:space="preserve">Информация о реализации мер по противодействию коррупции, подготовленная Управлением Президента Республики Татарстан по вопросам антикоррупционной политики, рассмотрена на заседании комиссии при председателе Комитета по противодействию коррупции в июне месяце. В работе комиссии принимает участие заместитель председателя Общественного совета при Комитете. </w:t>
            </w:r>
          </w:p>
          <w:p w:rsidR="00B03100" w:rsidRPr="004D362D" w:rsidRDefault="00B03100" w:rsidP="00B03100">
            <w:pPr>
              <w:autoSpaceDE w:val="0"/>
              <w:autoSpaceDN w:val="0"/>
              <w:adjustRightInd w:val="0"/>
              <w:jc w:val="both"/>
            </w:pPr>
            <w:r w:rsidRPr="004D362D">
              <w:t>На заседании Общественного совета при Комитете запланировано рассмотрение результатов, выполнения мероприятий программы Комитета по реализации антикоррупционной политики на 2019 – 2023 годы.</w:t>
            </w:r>
          </w:p>
        </w:tc>
      </w:tr>
      <w:tr w:rsidR="004D362D" w:rsidRPr="004D362D" w:rsidTr="007A5206">
        <w:trPr>
          <w:trHeight w:val="276"/>
          <w:tblHeader/>
        </w:trPr>
        <w:tc>
          <w:tcPr>
            <w:tcW w:w="4928" w:type="dxa"/>
            <w:shd w:val="clear" w:color="auto" w:fill="auto"/>
          </w:tcPr>
          <w:p w:rsidR="005D67F6" w:rsidRPr="004D362D" w:rsidRDefault="005D67F6" w:rsidP="00521048">
            <w:pPr>
              <w:autoSpaceDE w:val="0"/>
              <w:autoSpaceDN w:val="0"/>
              <w:adjustRightInd w:val="0"/>
              <w:jc w:val="both"/>
            </w:pPr>
            <w:r w:rsidRPr="004D362D">
              <w:t>4.3. Осуществление комплекса организационных, разъяснительных и иных мер по соблюдению государственными служащими ограничений, запретов, а также по исполнению обязанностей, установленных в целях противодействия коррупции, в том числе ограничений, касающихся дарения и получения подарков, с привлечением к данной работе Общественного совета при Комитете, общественных объединений, участвующих в противодействии коррупции, и других институтов гражданского общества</w:t>
            </w:r>
          </w:p>
        </w:tc>
        <w:tc>
          <w:tcPr>
            <w:tcW w:w="2127" w:type="dxa"/>
            <w:shd w:val="clear" w:color="auto" w:fill="auto"/>
          </w:tcPr>
          <w:p w:rsidR="005D67F6" w:rsidRPr="004D362D" w:rsidRDefault="005D67F6" w:rsidP="00521048">
            <w:pPr>
              <w:pStyle w:val="ConsPlusNormal"/>
              <w:jc w:val="both"/>
              <w:rPr>
                <w:rFonts w:eastAsia="Times New Roman"/>
                <w:sz w:val="20"/>
                <w:szCs w:val="20"/>
              </w:rPr>
            </w:pPr>
            <w:r w:rsidRPr="004D362D">
              <w:rPr>
                <w:rFonts w:eastAsia="Times New Roman"/>
                <w:sz w:val="20"/>
                <w:szCs w:val="20"/>
              </w:rPr>
              <w:t>отдел правовой, организационной и кадровой работы;</w:t>
            </w:r>
          </w:p>
          <w:p w:rsidR="005D67F6" w:rsidRPr="004D362D" w:rsidRDefault="005D67F6" w:rsidP="00521048">
            <w:pPr>
              <w:pStyle w:val="ConsPlusNormal"/>
              <w:jc w:val="both"/>
              <w:rPr>
                <w:rFonts w:eastAsia="Times New Roman"/>
                <w:sz w:val="20"/>
                <w:szCs w:val="20"/>
              </w:rPr>
            </w:pPr>
            <w:r w:rsidRPr="004D362D">
              <w:rPr>
                <w:rFonts w:eastAsia="Times New Roman"/>
                <w:sz w:val="20"/>
                <w:szCs w:val="20"/>
              </w:rPr>
              <w:t>ответственное лицо за работу по профилактике коррупционных и иных правонарушений</w:t>
            </w:r>
          </w:p>
        </w:tc>
        <w:tc>
          <w:tcPr>
            <w:tcW w:w="283" w:type="dxa"/>
            <w:shd w:val="clear" w:color="auto" w:fill="auto"/>
          </w:tcPr>
          <w:p w:rsidR="005D67F6" w:rsidRPr="004D362D" w:rsidRDefault="005D67F6" w:rsidP="00521048">
            <w:pPr>
              <w:autoSpaceDE w:val="0"/>
              <w:autoSpaceDN w:val="0"/>
              <w:adjustRightInd w:val="0"/>
              <w:jc w:val="center"/>
            </w:pPr>
          </w:p>
        </w:tc>
        <w:tc>
          <w:tcPr>
            <w:tcW w:w="2268" w:type="dxa"/>
            <w:shd w:val="clear" w:color="auto" w:fill="auto"/>
          </w:tcPr>
          <w:p w:rsidR="005D67F6" w:rsidRPr="004D362D" w:rsidRDefault="005D67F6" w:rsidP="00521048">
            <w:pPr>
              <w:pStyle w:val="ConsPlusNormal"/>
              <w:jc w:val="both"/>
              <w:rPr>
                <w:sz w:val="20"/>
                <w:szCs w:val="20"/>
              </w:rPr>
            </w:pPr>
            <w:r w:rsidRPr="004D362D">
              <w:rPr>
                <w:sz w:val="20"/>
                <w:szCs w:val="20"/>
              </w:rPr>
              <w:t>количество нормативных актов, информационных и иных материалов, в единицах</w:t>
            </w:r>
          </w:p>
        </w:tc>
        <w:tc>
          <w:tcPr>
            <w:tcW w:w="6460" w:type="dxa"/>
            <w:shd w:val="clear" w:color="auto" w:fill="auto"/>
          </w:tcPr>
          <w:p w:rsidR="005D67F6" w:rsidRPr="004D362D" w:rsidRDefault="005D67F6" w:rsidP="005217C6">
            <w:pPr>
              <w:widowControl w:val="0"/>
              <w:jc w:val="both"/>
            </w:pPr>
            <w:r w:rsidRPr="004D362D">
              <w:t xml:space="preserve">В целях обеспечения соблюдения гражданскими служащими требований законодательства, со всеми сотрудниками проводятся индивидуальные консультации и беседы. Доводятся до сведения приказы, разъясняющие механизм предотвращения и урегулирования конфликта интересов, о запрете приобретать ценные бумаги, по которым может быть получен доход, о запрете принимать без письменного разрешения представителя нанимателя награды, почетные и специальные звания, о персональной ответственности государственных гражданских служащих за противоправные действия, об основаниях увольнения в связи с утратой доверия, о порядке уведомления представителя нанимателя о фактах обращения в целях склонения государственных гражданских служащих к совершению коррупционных правонарушений, о порядке уведомления о намерении выполнять иную оплачиваемую работу, о необходимости соблюдения запретов, ограничений касающихся дарения и получения подарков. </w:t>
            </w:r>
          </w:p>
        </w:tc>
      </w:tr>
      <w:tr w:rsidR="00EF268C" w:rsidRPr="004D362D" w:rsidTr="007A5206">
        <w:trPr>
          <w:trHeight w:val="276"/>
          <w:tblHeader/>
        </w:trPr>
        <w:tc>
          <w:tcPr>
            <w:tcW w:w="4928" w:type="dxa"/>
            <w:shd w:val="clear" w:color="auto" w:fill="auto"/>
          </w:tcPr>
          <w:p w:rsidR="00695BAF" w:rsidRPr="004D362D" w:rsidRDefault="00695BAF" w:rsidP="00521048">
            <w:pPr>
              <w:autoSpaceDE w:val="0"/>
              <w:autoSpaceDN w:val="0"/>
              <w:adjustRightInd w:val="0"/>
              <w:jc w:val="both"/>
            </w:pPr>
            <w:r w:rsidRPr="004D362D">
              <w:t>4.4. Участие в осуществлении комплекса организационных, разъяснительных и иных мер по недопущению государственными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127"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отдел правовой, организационной и кадровой работы;</w:t>
            </w:r>
          </w:p>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autoSpaceDE w:val="0"/>
              <w:autoSpaceDN w:val="0"/>
              <w:adjustRightInd w:val="0"/>
              <w:jc w:val="center"/>
            </w:pPr>
          </w:p>
        </w:tc>
        <w:tc>
          <w:tcPr>
            <w:tcW w:w="2268" w:type="dxa"/>
            <w:shd w:val="clear" w:color="auto" w:fill="auto"/>
          </w:tcPr>
          <w:p w:rsidR="00695BAF" w:rsidRPr="004D362D" w:rsidRDefault="00695BAF" w:rsidP="00521048">
            <w:pPr>
              <w:pStyle w:val="ConsPlusNormal"/>
              <w:ind w:left="-107" w:right="-12"/>
              <w:jc w:val="center"/>
              <w:rPr>
                <w:rFonts w:eastAsia="Times New Roman"/>
                <w:sz w:val="20"/>
                <w:szCs w:val="20"/>
              </w:rPr>
            </w:pPr>
            <w:r w:rsidRPr="004D362D">
              <w:rPr>
                <w:rFonts w:eastAsia="Times New Roman"/>
                <w:sz w:val="20"/>
                <w:szCs w:val="20"/>
              </w:rPr>
              <w:t>анализ поступивших заявлений (обращений, жалоб), информации на предмет наличия в них информации о фактах коррупции со стороны государственных гражданских служащих, в единицах</w:t>
            </w:r>
          </w:p>
        </w:tc>
        <w:tc>
          <w:tcPr>
            <w:tcW w:w="6460" w:type="dxa"/>
            <w:shd w:val="clear" w:color="auto" w:fill="auto"/>
          </w:tcPr>
          <w:p w:rsidR="00695BAF" w:rsidRPr="004D362D" w:rsidRDefault="00695BAF" w:rsidP="007A5206">
            <w:pPr>
              <w:autoSpaceDE w:val="0"/>
              <w:autoSpaceDN w:val="0"/>
              <w:adjustRightInd w:val="0"/>
              <w:jc w:val="both"/>
            </w:pPr>
            <w:r w:rsidRPr="004D362D">
              <w:t>В Комитете разработана «Памятка для государственных служащих о необходимости соблюдения запрета дарить и получать подарки». Со всеми сотрудниками проводятся антикоррупционные мероприятия.</w:t>
            </w:r>
          </w:p>
          <w:p w:rsidR="00695BAF" w:rsidRPr="004D362D" w:rsidRDefault="00695BAF" w:rsidP="005B58C0">
            <w:pPr>
              <w:autoSpaceDE w:val="0"/>
              <w:autoSpaceDN w:val="0"/>
              <w:adjustRightInd w:val="0"/>
              <w:jc w:val="both"/>
            </w:pPr>
            <w:r w:rsidRPr="004D362D">
              <w:t>Информация о фактах коррупции со стороны государственных гражданских служащих не поступала.</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4.5. Осуществление контроля применения,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autoSpaceDE w:val="0"/>
              <w:autoSpaceDN w:val="0"/>
              <w:adjustRightInd w:val="0"/>
              <w:jc w:val="center"/>
            </w:pPr>
          </w:p>
        </w:tc>
        <w:tc>
          <w:tcPr>
            <w:tcW w:w="2268" w:type="dxa"/>
            <w:shd w:val="clear" w:color="auto" w:fill="auto"/>
          </w:tcPr>
          <w:p w:rsidR="00695BAF" w:rsidRPr="004D362D" w:rsidRDefault="00695BAF" w:rsidP="00521048">
            <w:pPr>
              <w:pStyle w:val="ConsPlusNormal"/>
              <w:rPr>
                <w:sz w:val="20"/>
                <w:szCs w:val="20"/>
              </w:rPr>
            </w:pPr>
            <w:r w:rsidRPr="004D362D">
              <w:rPr>
                <w:sz w:val="20"/>
                <w:szCs w:val="20"/>
              </w:rPr>
              <w:t>доля принятых мер ответственности по выявленным нарушениям, в процентах</w:t>
            </w:r>
          </w:p>
        </w:tc>
        <w:tc>
          <w:tcPr>
            <w:tcW w:w="6460" w:type="dxa"/>
            <w:shd w:val="clear" w:color="auto" w:fill="auto"/>
          </w:tcPr>
          <w:p w:rsidR="00695BAF" w:rsidRPr="004D362D" w:rsidRDefault="00695BAF" w:rsidP="00977290">
            <w:pPr>
              <w:autoSpaceDE w:val="0"/>
              <w:autoSpaceDN w:val="0"/>
              <w:adjustRightInd w:val="0"/>
              <w:jc w:val="both"/>
              <w:rPr>
                <w:rFonts w:eastAsiaTheme="minorEastAsia"/>
              </w:rPr>
            </w:pPr>
            <w:r w:rsidRPr="004D362D">
              <w:rPr>
                <w:rFonts w:eastAsiaTheme="minorEastAsia"/>
              </w:rPr>
              <w:t>Оснований для принятия мер юридической ответственности нет</w:t>
            </w:r>
          </w:p>
        </w:tc>
      </w:tr>
      <w:tr w:rsidR="00EF268C" w:rsidRPr="004D362D" w:rsidTr="007A5206">
        <w:trPr>
          <w:trHeight w:val="276"/>
          <w:tblHeader/>
        </w:trPr>
        <w:tc>
          <w:tcPr>
            <w:tcW w:w="4928" w:type="dxa"/>
            <w:shd w:val="clear" w:color="auto" w:fill="auto"/>
          </w:tcPr>
          <w:p w:rsidR="00695BAF" w:rsidRPr="004D362D" w:rsidRDefault="00695BAF" w:rsidP="00521048">
            <w:pPr>
              <w:autoSpaceDE w:val="0"/>
              <w:autoSpaceDN w:val="0"/>
              <w:adjustRightInd w:val="0"/>
              <w:jc w:val="both"/>
            </w:pPr>
            <w:r w:rsidRPr="004D362D">
              <w:t>4.6. Обеспечение подведомственного учреждения методическими информационными материалами по противодействию коррупции.</w:t>
            </w:r>
          </w:p>
          <w:p w:rsidR="00695BAF" w:rsidRPr="004D362D" w:rsidRDefault="00695BAF" w:rsidP="00521048">
            <w:pPr>
              <w:pStyle w:val="ConsPlusNormal"/>
              <w:jc w:val="both"/>
              <w:rPr>
                <w:sz w:val="20"/>
                <w:szCs w:val="20"/>
              </w:rPr>
            </w:pP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autoSpaceDE w:val="0"/>
              <w:autoSpaceDN w:val="0"/>
              <w:adjustRightInd w:val="0"/>
              <w:jc w:val="center"/>
            </w:pPr>
          </w:p>
        </w:tc>
        <w:tc>
          <w:tcPr>
            <w:tcW w:w="2268" w:type="dxa"/>
            <w:shd w:val="clear" w:color="auto" w:fill="auto"/>
          </w:tcPr>
          <w:p w:rsidR="00695BAF" w:rsidRPr="004D362D" w:rsidRDefault="00695BAF" w:rsidP="00521048">
            <w:pPr>
              <w:autoSpaceDE w:val="0"/>
              <w:autoSpaceDN w:val="0"/>
              <w:adjustRightInd w:val="0"/>
              <w:jc w:val="both"/>
            </w:pPr>
            <w:r w:rsidRPr="004D362D">
              <w:t>подготовка и направление методических информационных материалов по противодействию коррупции, в единицах</w:t>
            </w:r>
          </w:p>
        </w:tc>
        <w:tc>
          <w:tcPr>
            <w:tcW w:w="6460" w:type="dxa"/>
            <w:shd w:val="clear" w:color="auto" w:fill="auto"/>
          </w:tcPr>
          <w:p w:rsidR="00695BAF" w:rsidRPr="004D362D" w:rsidRDefault="00695BAF" w:rsidP="001C2AC7">
            <w:pPr>
              <w:ind w:firstLine="33"/>
              <w:jc w:val="both"/>
            </w:pPr>
            <w:r w:rsidRPr="004D362D">
              <w:t>С руководителем и работниками государственного бюджетного учреждения «Центр культурного наследия Татарстана» заключаются трудовые договоры, которые содержат пункты регулирующие вопросы предотвращения и урегулирования конфликта интересов. Регулярно проводится разъяснительная работа по требованиям к служебному поведению, требованиям законодательства о государственной гражданской службе и противодействии коррупции, а также ознакомление с соответствующими локальными актами Комитета.</w:t>
            </w:r>
          </w:p>
          <w:p w:rsidR="00695BAF" w:rsidRPr="004D362D" w:rsidRDefault="00695BAF" w:rsidP="001C2AC7">
            <w:pPr>
              <w:pStyle w:val="alignjustify1"/>
              <w:ind w:firstLine="33"/>
              <w:rPr>
                <w:sz w:val="20"/>
                <w:szCs w:val="20"/>
              </w:rPr>
            </w:pPr>
            <w:r w:rsidRPr="004D362D">
              <w:rPr>
                <w:sz w:val="20"/>
                <w:szCs w:val="20"/>
              </w:rPr>
              <w:t xml:space="preserve">В целях обеспечения соблюдения требований законодательства,  до сведения работников доводятся приказы, разъясняющие механизм предотвращения и урегулирования конфликта интересов, о запрете принимать без письменного разрешения представителя нанимателя награды, почетные и специальные звания, о персональной ответственности за противоправные действия, о необходимости соблюдения запретов, ограничений касающихся дарения и получения подарков. </w:t>
            </w:r>
          </w:p>
          <w:p w:rsidR="00695BAF" w:rsidRPr="004D362D" w:rsidRDefault="00695BAF" w:rsidP="001C2AC7">
            <w:pPr>
              <w:ind w:firstLine="33"/>
              <w:jc w:val="both"/>
            </w:pPr>
            <w:r w:rsidRPr="004D362D">
              <w:t>Руководитель Центра принимает участие в работе Комиссии при председателе Комитета Республики Татарстан по охране объектов культурного наследия по противодействию коррупции. В период заполнения сведений о доходах, расходах, об имуществе и обязательствах имущественного характера по итогам 201</w:t>
            </w:r>
            <w:r w:rsidR="00EC4094" w:rsidRPr="004D362D">
              <w:t>9</w:t>
            </w:r>
            <w:r w:rsidRPr="004D362D">
              <w:t xml:space="preserve"> года, обсуждалась правильность заполнения справок с учетом Методических рекомендаций Министерства труда и социальной защиты Российской Федерации.</w:t>
            </w:r>
          </w:p>
          <w:p w:rsidR="00695BAF" w:rsidRPr="004D362D" w:rsidRDefault="00695BAF" w:rsidP="001C2AC7">
            <w:pPr>
              <w:autoSpaceDE w:val="0"/>
              <w:autoSpaceDN w:val="0"/>
              <w:adjustRightInd w:val="0"/>
              <w:ind w:firstLine="33"/>
              <w:jc w:val="both"/>
              <w:rPr>
                <w:rFonts w:eastAsiaTheme="minorEastAsia"/>
              </w:rPr>
            </w:pPr>
          </w:p>
        </w:tc>
      </w:tr>
      <w:tr w:rsidR="00EF268C" w:rsidRPr="004D362D" w:rsidTr="007A5206">
        <w:trPr>
          <w:trHeight w:val="276"/>
          <w:tblHeader/>
        </w:trPr>
        <w:tc>
          <w:tcPr>
            <w:tcW w:w="16066" w:type="dxa"/>
            <w:gridSpan w:val="5"/>
            <w:shd w:val="clear" w:color="auto" w:fill="auto"/>
          </w:tcPr>
          <w:p w:rsidR="00695BAF" w:rsidRPr="004D362D" w:rsidRDefault="00695BAF" w:rsidP="00521048">
            <w:pPr>
              <w:pStyle w:val="ConsPlusNormal"/>
              <w:jc w:val="center"/>
              <w:rPr>
                <w:rFonts w:eastAsia="Times New Roman"/>
                <w:sz w:val="20"/>
                <w:szCs w:val="20"/>
              </w:rPr>
            </w:pPr>
            <w:r w:rsidRPr="004D362D">
              <w:rPr>
                <w:sz w:val="20"/>
                <w:szCs w:val="20"/>
              </w:rPr>
              <w:t>Задача 5. Обеспечение открытости, доступности для граждан деятельности Комитета, взаимодействие с гражданским обществом, стимулирование антикоррупционной активности общественности</w:t>
            </w:r>
          </w:p>
        </w:tc>
      </w:tr>
      <w:tr w:rsidR="004D362D" w:rsidRPr="004D362D" w:rsidTr="007A5206">
        <w:trPr>
          <w:trHeight w:val="276"/>
          <w:tblHeader/>
        </w:trPr>
        <w:tc>
          <w:tcPr>
            <w:tcW w:w="4928" w:type="dxa"/>
            <w:shd w:val="clear" w:color="auto" w:fill="auto"/>
          </w:tcPr>
          <w:p w:rsidR="005D67F6" w:rsidRPr="004D362D" w:rsidRDefault="005D67F6" w:rsidP="00521048">
            <w:pPr>
              <w:pStyle w:val="ConsPlusNormal"/>
              <w:jc w:val="both"/>
              <w:rPr>
                <w:sz w:val="20"/>
                <w:szCs w:val="20"/>
              </w:rPr>
            </w:pPr>
            <w:r w:rsidRPr="004D362D">
              <w:rPr>
                <w:sz w:val="20"/>
                <w:szCs w:val="20"/>
              </w:rPr>
              <w:lastRenderedPageBreak/>
              <w:t>5.1. Обеспечение соблюдения положений административных регламентов предоставления государственных услуг Комитетом при предоставлении государственных услуг гражданам и юридическим лицам</w:t>
            </w:r>
          </w:p>
        </w:tc>
        <w:tc>
          <w:tcPr>
            <w:tcW w:w="2127" w:type="dxa"/>
            <w:shd w:val="clear" w:color="auto" w:fill="auto"/>
          </w:tcPr>
          <w:p w:rsidR="005D67F6" w:rsidRPr="004D362D" w:rsidRDefault="005D67F6" w:rsidP="00521048">
            <w:pPr>
              <w:pStyle w:val="ConsPlusNormal"/>
              <w:jc w:val="both"/>
              <w:rPr>
                <w:sz w:val="20"/>
                <w:szCs w:val="20"/>
              </w:rPr>
            </w:pPr>
            <w:r w:rsidRPr="004D362D">
              <w:rPr>
                <w:sz w:val="20"/>
                <w:szCs w:val="20"/>
              </w:rPr>
              <w:t>структурные подразделения, представляющие государственные услуги</w:t>
            </w:r>
          </w:p>
        </w:tc>
        <w:tc>
          <w:tcPr>
            <w:tcW w:w="283" w:type="dxa"/>
            <w:shd w:val="clear" w:color="auto" w:fill="auto"/>
          </w:tcPr>
          <w:p w:rsidR="005D67F6" w:rsidRPr="004D362D" w:rsidRDefault="005D67F6" w:rsidP="00521048">
            <w:pPr>
              <w:pStyle w:val="ConsPlusNormal"/>
              <w:jc w:val="center"/>
              <w:rPr>
                <w:sz w:val="20"/>
                <w:szCs w:val="20"/>
              </w:rPr>
            </w:pPr>
          </w:p>
        </w:tc>
        <w:tc>
          <w:tcPr>
            <w:tcW w:w="2268" w:type="dxa"/>
            <w:shd w:val="clear" w:color="auto" w:fill="auto"/>
          </w:tcPr>
          <w:p w:rsidR="005D67F6" w:rsidRPr="004D362D" w:rsidRDefault="005D67F6" w:rsidP="00521048">
            <w:pPr>
              <w:pStyle w:val="ConsPlusNormal"/>
              <w:jc w:val="both"/>
              <w:rPr>
                <w:sz w:val="20"/>
                <w:szCs w:val="20"/>
              </w:rPr>
            </w:pPr>
            <w:r w:rsidRPr="004D362D">
              <w:rPr>
                <w:sz w:val="20"/>
                <w:szCs w:val="20"/>
              </w:rPr>
              <w:t>обоснованные жалобы на несоблюдение положений административных регламентов предоставления государственных услуг, в процентах</w:t>
            </w:r>
          </w:p>
        </w:tc>
        <w:tc>
          <w:tcPr>
            <w:tcW w:w="6460" w:type="dxa"/>
            <w:shd w:val="clear" w:color="auto" w:fill="auto"/>
          </w:tcPr>
          <w:p w:rsidR="005D67F6" w:rsidRPr="004D362D" w:rsidRDefault="005D67F6" w:rsidP="005217C6">
            <w:pPr>
              <w:pStyle w:val="a8"/>
              <w:autoSpaceDE w:val="0"/>
              <w:autoSpaceDN w:val="0"/>
              <w:adjustRightInd w:val="0"/>
              <w:ind w:left="0"/>
              <w:jc w:val="both"/>
              <w:rPr>
                <w:rFonts w:eastAsia="Calibri"/>
              </w:rPr>
            </w:pPr>
            <w:r w:rsidRPr="004D362D">
              <w:rPr>
                <w:rFonts w:eastAsia="Calibri"/>
              </w:rPr>
              <w:t>Приняты Административные регламенты предоставления государственных услуг:</w:t>
            </w:r>
          </w:p>
          <w:p w:rsidR="005D67F6" w:rsidRPr="004D362D" w:rsidRDefault="005D67F6" w:rsidP="005217C6">
            <w:pPr>
              <w:pStyle w:val="a8"/>
              <w:autoSpaceDE w:val="0"/>
              <w:autoSpaceDN w:val="0"/>
              <w:adjustRightInd w:val="0"/>
              <w:ind w:left="0"/>
              <w:jc w:val="both"/>
              <w:rPr>
                <w:rFonts w:eastAsia="Calibri"/>
              </w:rPr>
            </w:pPr>
            <w:r w:rsidRPr="004D362D">
              <w:rPr>
                <w:rFonts w:eastAsia="Calibri"/>
              </w:rPr>
              <w:t>по выдаче разрешения на проведение работ по сохранению объекта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(республиканского) значения, выявленного объекта культурного наследия, не распространяется на объекты культурного наследия местного (муниципального) значения;</w:t>
            </w:r>
          </w:p>
          <w:p w:rsidR="005D67F6" w:rsidRPr="004D362D" w:rsidRDefault="005D67F6" w:rsidP="005217C6">
            <w:pPr>
              <w:pStyle w:val="a8"/>
              <w:autoSpaceDE w:val="0"/>
              <w:autoSpaceDN w:val="0"/>
              <w:adjustRightInd w:val="0"/>
              <w:ind w:left="0"/>
              <w:jc w:val="both"/>
              <w:rPr>
                <w:rFonts w:eastAsia="Calibri"/>
              </w:rPr>
            </w:pPr>
            <w:r w:rsidRPr="004D362D">
              <w:rPr>
                <w:rFonts w:eastAsia="Calibri"/>
              </w:rPr>
              <w:t>по выдаче задания на проведение работ по сохранению объекта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(республиканского) значения, выявленного объекта культурного наследия (далее - объекты культурного наследия);</w:t>
            </w:r>
          </w:p>
          <w:p w:rsidR="005D67F6" w:rsidRPr="004D362D" w:rsidRDefault="005D67F6" w:rsidP="005217C6">
            <w:pPr>
              <w:pStyle w:val="a8"/>
              <w:autoSpaceDE w:val="0"/>
              <w:autoSpaceDN w:val="0"/>
              <w:adjustRightInd w:val="0"/>
              <w:ind w:left="0"/>
              <w:jc w:val="both"/>
              <w:rPr>
                <w:rFonts w:eastAsia="Calibri"/>
              </w:rPr>
            </w:pPr>
            <w:r w:rsidRPr="004D362D">
              <w:rPr>
                <w:rFonts w:eastAsia="Calibri"/>
              </w:rPr>
              <w:t>по выдаче задания на проведение работ по сохранению объектов культурного наследия;</w:t>
            </w:r>
          </w:p>
          <w:p w:rsidR="005D67F6" w:rsidRPr="004D362D" w:rsidRDefault="005D67F6" w:rsidP="005217C6">
            <w:pPr>
              <w:pStyle w:val="a8"/>
              <w:autoSpaceDE w:val="0"/>
              <w:autoSpaceDN w:val="0"/>
              <w:adjustRightInd w:val="0"/>
              <w:ind w:left="0"/>
              <w:jc w:val="both"/>
              <w:rPr>
                <w:rFonts w:eastAsia="Calibri"/>
              </w:rPr>
            </w:pPr>
            <w:r w:rsidRPr="004D362D">
              <w:rPr>
                <w:rFonts w:eastAsia="Calibri"/>
              </w:rPr>
              <w:t>по согласованию проектной документации на проведение работ по сохранению объекта культурного наследия.</w:t>
            </w:r>
          </w:p>
          <w:p w:rsidR="005D67F6" w:rsidRPr="004D362D" w:rsidRDefault="005D67F6" w:rsidP="005217C6">
            <w:pPr>
              <w:pStyle w:val="a8"/>
              <w:autoSpaceDE w:val="0"/>
              <w:autoSpaceDN w:val="0"/>
              <w:adjustRightInd w:val="0"/>
              <w:ind w:left="0"/>
              <w:jc w:val="both"/>
              <w:rPr>
                <w:rFonts w:eastAsia="Calibri"/>
              </w:rPr>
            </w:pPr>
            <w:r w:rsidRPr="004D362D">
              <w:rPr>
                <w:rFonts w:eastAsia="Calibri"/>
              </w:rPr>
              <w:t>Текущий контроль соблюдения последовательности действий, определенных административными процедурами по предоставлению государственной услуги, осуществляется заместителями председателя Комитета.</w:t>
            </w:r>
          </w:p>
          <w:p w:rsidR="005D67F6" w:rsidRPr="004D362D" w:rsidRDefault="005D67F6" w:rsidP="005217C6">
            <w:pPr>
              <w:widowControl w:val="0"/>
              <w:jc w:val="both"/>
            </w:pPr>
            <w:r w:rsidRPr="004D362D">
              <w:t>Формами контроля соблюдения исполнения административных процедур являются проведение экспертизы проектов документов по предоставлению государственной услуги, результатом экспертизы является визирование проектов и систематические проверки ведения делопроизводства.</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rPr>
                <w:sz w:val="20"/>
                <w:szCs w:val="20"/>
              </w:rPr>
            </w:pPr>
            <w:r w:rsidRPr="004D362D">
              <w:rPr>
                <w:sz w:val="20"/>
                <w:szCs w:val="20"/>
              </w:rPr>
              <w:t xml:space="preserve">5.2. Организация наполнения раздела "Противодействие коррупции" официального сайта Комитета в соответствии с законодательством и </w:t>
            </w:r>
            <w:hyperlink r:id="rId11" w:history="1">
              <w:r w:rsidRPr="004D362D">
                <w:rPr>
                  <w:sz w:val="20"/>
                  <w:szCs w:val="20"/>
                </w:rPr>
                <w:t>требованиями</w:t>
              </w:r>
            </w:hyperlink>
            <w:r w:rsidRPr="004D362D">
              <w:rPr>
                <w:sz w:val="20"/>
                <w:szCs w:val="20"/>
              </w:rPr>
              <w:t>, установленными постановлением Кабинета Министров Республики Татарстан от 04.04.2013 N 225 "Об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 xml:space="preserve">уровень наполняемости официального сайта Комитета в соответствии с требованиями, установленными указанным постановлением </w:t>
            </w:r>
          </w:p>
          <w:p w:rsidR="00695BAF" w:rsidRPr="004D362D" w:rsidRDefault="00695BAF" w:rsidP="00521048">
            <w:pPr>
              <w:pStyle w:val="ConsPlusNormal"/>
              <w:jc w:val="both"/>
              <w:rPr>
                <w:sz w:val="20"/>
                <w:szCs w:val="20"/>
              </w:rPr>
            </w:pPr>
            <w:r w:rsidRPr="004D362D">
              <w:rPr>
                <w:sz w:val="20"/>
                <w:szCs w:val="20"/>
              </w:rPr>
              <w:t>Кабинета Министров Республики Татарстан, в процентах</w:t>
            </w:r>
          </w:p>
        </w:tc>
        <w:tc>
          <w:tcPr>
            <w:tcW w:w="6460" w:type="dxa"/>
            <w:shd w:val="clear" w:color="auto" w:fill="auto"/>
          </w:tcPr>
          <w:p w:rsidR="00695BAF" w:rsidRPr="004D362D" w:rsidRDefault="00695BAF" w:rsidP="005B58C0">
            <w:pPr>
              <w:widowControl w:val="0"/>
              <w:jc w:val="both"/>
            </w:pPr>
            <w:r w:rsidRPr="004D362D">
              <w:t xml:space="preserve">Раздел «Противодействие коррупции» создан на сайте в соответствии с постановлением Кабинета Министров Республики Татарстан от 04.04.2013 № 225 «Об утверждении Единых требований к размещению и наполнению разделов официальных сайтов ИОГВ РТ в информационно-телекоммуникационной сети «Интернет» по вопросам противодействия коррупции». Материалы данного раздела дополняются по мере поступления документов и информации. </w:t>
            </w:r>
          </w:p>
          <w:p w:rsidR="00695BAF" w:rsidRPr="004D362D" w:rsidRDefault="00695BAF" w:rsidP="005B58C0">
            <w:pPr>
              <w:widowControl w:val="0"/>
              <w:jc w:val="both"/>
            </w:pPr>
            <w:r w:rsidRPr="004D362D">
              <w:t>Мероприятия, предусмотренные статьей 13 Федерального закона от 09.02.2009 №8-ФЗ «Об обеспечении доступа к информации о деятельности государственных органов и органов местного самоуправления».</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5.3. Обеспечение функционирования "телефона доверия", "горячей линии", интернет-приемной,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 xml:space="preserve">ответственное лицо за работу по профилактике коррупционных и иных правонарушений; </w:t>
            </w:r>
            <w:r w:rsidRPr="004D362D">
              <w:rPr>
                <w:rFonts w:eastAsia="Times New Roman"/>
                <w:sz w:val="20"/>
                <w:szCs w:val="20"/>
              </w:rPr>
              <w:t>отдел администрирования и бухгалтерского учета</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 xml:space="preserve">функционирование "телефона доверия" и других информационных каналов, в единицах </w:t>
            </w:r>
          </w:p>
        </w:tc>
        <w:tc>
          <w:tcPr>
            <w:tcW w:w="6460" w:type="dxa"/>
            <w:shd w:val="clear" w:color="auto" w:fill="auto"/>
          </w:tcPr>
          <w:p w:rsidR="005D67F6" w:rsidRPr="004D362D" w:rsidRDefault="00695BAF" w:rsidP="002C72B1">
            <w:pPr>
              <w:widowControl w:val="0"/>
              <w:jc w:val="both"/>
            </w:pPr>
            <w:r w:rsidRPr="004D362D">
              <w:t xml:space="preserve">Телефон должностного лица кадровой службы, ответственного за работу по профилактике коррупционных и иных правонарушений в Комитете размещен на сайте в разделе «Противодействие коррупции». </w:t>
            </w:r>
          </w:p>
          <w:p w:rsidR="00695BAF" w:rsidRPr="004D362D" w:rsidRDefault="00695BAF" w:rsidP="002C72B1">
            <w:pPr>
              <w:widowControl w:val="0"/>
              <w:jc w:val="both"/>
            </w:pPr>
            <w:r w:rsidRPr="004D362D">
              <w:t xml:space="preserve">В Комитете функционирует «горячая линия», </w:t>
            </w:r>
            <w:hyperlink r:id="rId12" w:history="1">
              <w:r w:rsidRPr="004D362D">
                <w:t>Телефон доверия для сообщений о проявлениях коррупции в Комитете</w:t>
              </w:r>
            </w:hyperlink>
            <w:r w:rsidRPr="004D362D">
              <w:t xml:space="preserve">. Обращений от граждан о признаках коррупционных правонарушений не поступало. </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 xml:space="preserve">5.4. Осуществление размещения на сайте Комитета ежегодных отчетов, доведение до СМИ, в установленном порядке, информации о реализации мер антикоррупционной политики в Комитете </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 xml:space="preserve">ответственное лицо за работу по профилактике коррупционных и иных правонарушений, </w:t>
            </w:r>
            <w:r w:rsidRPr="004D362D">
              <w:rPr>
                <w:rFonts w:eastAsia="Times New Roman"/>
                <w:sz w:val="20"/>
                <w:szCs w:val="20"/>
              </w:rPr>
              <w:t>отдел администрирования и бухгалтерского учета</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rPr>
                <w:sz w:val="20"/>
                <w:szCs w:val="20"/>
              </w:rPr>
            </w:pPr>
            <w:r w:rsidRPr="004D362D">
              <w:rPr>
                <w:sz w:val="20"/>
                <w:szCs w:val="20"/>
              </w:rPr>
              <w:t>размещение годового отчета о состоянии коррупции и реализации мер антикоррупционной политики, в единицах</w:t>
            </w:r>
          </w:p>
        </w:tc>
        <w:tc>
          <w:tcPr>
            <w:tcW w:w="6460" w:type="dxa"/>
            <w:shd w:val="clear" w:color="auto" w:fill="auto"/>
          </w:tcPr>
          <w:p w:rsidR="00695BAF" w:rsidRPr="004D362D" w:rsidRDefault="00695BAF" w:rsidP="00A87668">
            <w:pPr>
              <w:autoSpaceDE w:val="0"/>
              <w:autoSpaceDN w:val="0"/>
              <w:adjustRightInd w:val="0"/>
              <w:jc w:val="both"/>
            </w:pPr>
            <w:r w:rsidRPr="004D362D">
              <w:t xml:space="preserve">Отчет о мерах по реализации антикоррупционной политики в Комитете Республики Татарстан по охране объектов культурного наследия по итогам 2018 </w:t>
            </w:r>
            <w:r w:rsidR="00A87668" w:rsidRPr="004D362D">
              <w:t xml:space="preserve">и 2019 </w:t>
            </w:r>
            <w:r w:rsidRPr="004D362D">
              <w:t>год</w:t>
            </w:r>
            <w:r w:rsidR="00A87668" w:rsidRPr="004D362D">
              <w:t>ов</w:t>
            </w:r>
            <w:r w:rsidRPr="004D362D">
              <w:t xml:space="preserve"> размещен, в разделе «Противодействие коррупции» официального сайта Комитета. </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5.5. Размещение в соответствии с законодательством на сайте Комитета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p>
        </w:tc>
        <w:tc>
          <w:tcPr>
            <w:tcW w:w="2127" w:type="dxa"/>
            <w:shd w:val="clear" w:color="auto" w:fill="auto"/>
          </w:tcPr>
          <w:p w:rsidR="00695BAF" w:rsidRPr="004D362D" w:rsidRDefault="00695BAF" w:rsidP="00521048">
            <w:pPr>
              <w:pStyle w:val="ConsPlusNormal"/>
              <w:jc w:val="both"/>
              <w:rPr>
                <w:rFonts w:eastAsia="Times New Roman"/>
                <w:sz w:val="20"/>
                <w:szCs w:val="20"/>
              </w:rPr>
            </w:pPr>
            <w:r w:rsidRPr="004D362D">
              <w:rPr>
                <w:sz w:val="20"/>
                <w:szCs w:val="20"/>
              </w:rPr>
              <w:t xml:space="preserve">ответственное лицо за работу по профилактике коррупционных и иных правонарушений, </w:t>
            </w:r>
            <w:r w:rsidRPr="004D362D">
              <w:rPr>
                <w:rFonts w:eastAsia="Times New Roman"/>
                <w:sz w:val="20"/>
                <w:szCs w:val="20"/>
              </w:rPr>
              <w:t>отдел администрирования и бухгалтерского учета</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размещение сведений о доходах, в процентах</w:t>
            </w:r>
          </w:p>
        </w:tc>
        <w:tc>
          <w:tcPr>
            <w:tcW w:w="6460" w:type="dxa"/>
            <w:shd w:val="clear" w:color="auto" w:fill="auto"/>
          </w:tcPr>
          <w:p w:rsidR="00695BAF" w:rsidRPr="004D362D" w:rsidRDefault="00695BAF" w:rsidP="005D67F6">
            <w:pPr>
              <w:autoSpaceDE w:val="0"/>
              <w:autoSpaceDN w:val="0"/>
              <w:adjustRightInd w:val="0"/>
            </w:pPr>
            <w:r w:rsidRPr="004D362D">
              <w:rPr>
                <w:rFonts w:eastAsiaTheme="minorEastAsia"/>
              </w:rPr>
              <w:t xml:space="preserve">Во втором квартале 2019 года </w:t>
            </w:r>
            <w:r w:rsidRPr="004D362D">
              <w:t>сведения о доходах, расходах, имуществе и обязательствах имущественного характера государственных гражданских служащих размещены на официальном сайте Комитета.</w:t>
            </w:r>
          </w:p>
          <w:p w:rsidR="005D67F6" w:rsidRPr="004D362D" w:rsidRDefault="005D67F6" w:rsidP="005D67F6">
            <w:pPr>
              <w:autoSpaceDE w:val="0"/>
              <w:autoSpaceDN w:val="0"/>
              <w:adjustRightInd w:val="0"/>
              <w:jc w:val="both"/>
              <w:rPr>
                <w:rFonts w:eastAsiaTheme="minorEastAsia"/>
              </w:rPr>
            </w:pPr>
            <w:r w:rsidRPr="004D362D">
              <w:t>По итогам 2019 года сведения о доходах размещаются в установленные сроки.</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5.6. 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Комиссии при председателе Комитета по противодействию коррупции</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 xml:space="preserve">начальники структурных подразделений, </w:t>
            </w:r>
          </w:p>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протоколы заседания Комиссии при председателе Комитета по противодействию коррупции, в единицах</w:t>
            </w:r>
          </w:p>
        </w:tc>
        <w:tc>
          <w:tcPr>
            <w:tcW w:w="6460" w:type="dxa"/>
            <w:shd w:val="clear" w:color="auto" w:fill="auto"/>
          </w:tcPr>
          <w:p w:rsidR="00695BAF" w:rsidRPr="004D362D" w:rsidRDefault="00695BAF" w:rsidP="005D67F6">
            <w:pPr>
              <w:autoSpaceDE w:val="0"/>
              <w:autoSpaceDN w:val="0"/>
              <w:adjustRightInd w:val="0"/>
              <w:jc w:val="both"/>
              <w:rPr>
                <w:rFonts w:eastAsiaTheme="minorEastAsia"/>
              </w:rPr>
            </w:pPr>
            <w:r w:rsidRPr="004D362D">
              <w:rPr>
                <w:rFonts w:eastAsiaTheme="minorEastAsia"/>
              </w:rPr>
              <w:t>Ежеквартально проводится анализ обращений граждан и юридических лиц. На заседаниях Комиссии при председателе Комитета по противодействию коррупции запланировано рассмотрение заявлений и обращений граждан на предмет наличия в них информации о фактах коррупции со стороны государственных гражданских служащих.</w:t>
            </w:r>
          </w:p>
          <w:p w:rsidR="00695BAF" w:rsidRPr="004D362D" w:rsidRDefault="00695BAF" w:rsidP="005D67F6">
            <w:pPr>
              <w:autoSpaceDE w:val="0"/>
              <w:autoSpaceDN w:val="0"/>
              <w:adjustRightInd w:val="0"/>
              <w:jc w:val="both"/>
              <w:rPr>
                <w:rFonts w:eastAsiaTheme="minorEastAsia"/>
              </w:rPr>
            </w:pPr>
            <w:r w:rsidRPr="004D362D">
              <w:rPr>
                <w:rFonts w:eastAsiaTheme="minorEastAsia"/>
              </w:rPr>
              <w:t>Обращения не поступали.</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sz w:val="20"/>
                <w:szCs w:val="20"/>
              </w:rPr>
            </w:pPr>
            <w:r w:rsidRPr="004D362D">
              <w:rPr>
                <w:sz w:val="20"/>
                <w:szCs w:val="20"/>
              </w:rPr>
              <w:t>5.7. Оформление и поддержание в актуальном состоянии специального информационного стенда и иных форм представления информации антикоррупционного содержания</w:t>
            </w:r>
          </w:p>
        </w:tc>
        <w:tc>
          <w:tcPr>
            <w:tcW w:w="2127" w:type="dxa"/>
            <w:shd w:val="clear" w:color="auto" w:fill="auto"/>
          </w:tcPr>
          <w:p w:rsidR="00695BAF" w:rsidRPr="004D362D" w:rsidRDefault="00695BAF"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 ответственное лицо за взаимодействие со СМИ</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sz w:val="20"/>
                <w:szCs w:val="20"/>
              </w:rPr>
            </w:pPr>
            <w:r w:rsidRPr="004D362D">
              <w:rPr>
                <w:sz w:val="20"/>
                <w:szCs w:val="20"/>
              </w:rPr>
              <w:t>обновление материалов стенда и иных форм представления информации антикоррупционного содержания, в единицах</w:t>
            </w:r>
          </w:p>
        </w:tc>
        <w:tc>
          <w:tcPr>
            <w:tcW w:w="6460" w:type="dxa"/>
            <w:shd w:val="clear" w:color="auto" w:fill="auto"/>
          </w:tcPr>
          <w:p w:rsidR="00695BAF" w:rsidRPr="004D362D" w:rsidRDefault="00695BAF" w:rsidP="001B4B2B">
            <w:pPr>
              <w:widowControl w:val="0"/>
            </w:pPr>
            <w:r w:rsidRPr="004D362D">
              <w:t>Информации антикоррупционного содержания предоставляется  посредством электронных коммуникаций, имеется информационный стенд с материалами в сфере противодействия коррупции.</w:t>
            </w:r>
          </w:p>
        </w:tc>
      </w:tr>
      <w:tr w:rsidR="00EF268C" w:rsidRPr="004D362D" w:rsidTr="007A5206">
        <w:trPr>
          <w:trHeight w:val="276"/>
          <w:tblHeader/>
        </w:trPr>
        <w:tc>
          <w:tcPr>
            <w:tcW w:w="16066" w:type="dxa"/>
            <w:gridSpan w:val="5"/>
            <w:shd w:val="clear" w:color="auto" w:fill="auto"/>
          </w:tcPr>
          <w:p w:rsidR="00695BAF" w:rsidRPr="004D362D" w:rsidRDefault="00695BAF" w:rsidP="00521048">
            <w:pPr>
              <w:autoSpaceDE w:val="0"/>
              <w:autoSpaceDN w:val="0"/>
              <w:adjustRightInd w:val="0"/>
              <w:jc w:val="center"/>
              <w:rPr>
                <w:rFonts w:eastAsiaTheme="minorEastAsia"/>
              </w:rPr>
            </w:pPr>
            <w:r w:rsidRPr="004D362D">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нужд Комитета, повышение эффективности использования государственного имущества</w:t>
            </w:r>
          </w:p>
        </w:tc>
      </w:tr>
      <w:tr w:rsidR="00EF268C" w:rsidRPr="004D362D" w:rsidTr="007A5206">
        <w:trPr>
          <w:trHeight w:val="276"/>
          <w:tblHeader/>
        </w:trPr>
        <w:tc>
          <w:tcPr>
            <w:tcW w:w="4928" w:type="dxa"/>
            <w:shd w:val="clear" w:color="auto" w:fill="auto"/>
          </w:tcPr>
          <w:p w:rsidR="00695BAF" w:rsidRPr="004D362D" w:rsidRDefault="00695BAF" w:rsidP="005D67F6">
            <w:pPr>
              <w:pStyle w:val="ConsPlusNormal"/>
              <w:jc w:val="both"/>
              <w:rPr>
                <w:rFonts w:eastAsia="Times New Roman"/>
                <w:sz w:val="20"/>
                <w:szCs w:val="20"/>
              </w:rPr>
            </w:pPr>
            <w:r w:rsidRPr="004D362D">
              <w:rPr>
                <w:rFonts w:eastAsia="Times New Roman"/>
                <w:sz w:val="20"/>
                <w:szCs w:val="20"/>
              </w:rPr>
              <w:t>6.</w:t>
            </w:r>
            <w:r w:rsidR="00500C5F" w:rsidRPr="004D362D">
              <w:rPr>
                <w:rFonts w:eastAsia="Times New Roman"/>
                <w:sz w:val="20"/>
                <w:szCs w:val="20"/>
              </w:rPr>
              <w:t>1</w:t>
            </w:r>
            <w:r w:rsidRPr="004D362D">
              <w:rPr>
                <w:rFonts w:eastAsia="Times New Roman"/>
                <w:sz w:val="20"/>
                <w:szCs w:val="20"/>
              </w:rPr>
              <w:t xml:space="preserve">. Реализация мер, способствующих </w:t>
            </w:r>
            <w:r w:rsidR="005D67F6" w:rsidRPr="004D362D">
              <w:rPr>
                <w:rFonts w:eastAsia="Times New Roman"/>
                <w:sz w:val="20"/>
                <w:szCs w:val="20"/>
              </w:rPr>
              <w:t>снижению уровня</w:t>
            </w:r>
            <w:r w:rsidRPr="004D362D">
              <w:rPr>
                <w:rFonts w:eastAsia="Times New Roman"/>
                <w:sz w:val="20"/>
                <w:szCs w:val="20"/>
              </w:rPr>
              <w:t xml:space="preserve"> коррупции при осуществлении закупок товаров (работ, услуг) для нужд Комитета,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127"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отдел администрирования и бухгалтерского учета</w:t>
            </w:r>
          </w:p>
        </w:tc>
        <w:tc>
          <w:tcPr>
            <w:tcW w:w="283" w:type="dxa"/>
            <w:shd w:val="clear" w:color="auto" w:fill="auto"/>
          </w:tcPr>
          <w:p w:rsidR="00695BAF" w:rsidRPr="004D362D" w:rsidRDefault="00695BAF" w:rsidP="00521048">
            <w:pPr>
              <w:pStyle w:val="ConsPlusNormal"/>
              <w:jc w:val="center"/>
              <w:rPr>
                <w:rFonts w:eastAsia="Times New Roman"/>
                <w:sz w:val="20"/>
                <w:szCs w:val="20"/>
              </w:rPr>
            </w:pPr>
          </w:p>
        </w:tc>
        <w:tc>
          <w:tcPr>
            <w:tcW w:w="2268"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 xml:space="preserve">размещение информации  о деятельности по осуществлению закупок товаров, работ, услуг для обеспечения нужд Комитета в информационной системе, </w:t>
            </w:r>
            <w:r w:rsidRPr="004D362D">
              <w:rPr>
                <w:sz w:val="20"/>
                <w:szCs w:val="20"/>
              </w:rPr>
              <w:t>в процентах</w:t>
            </w:r>
          </w:p>
        </w:tc>
        <w:tc>
          <w:tcPr>
            <w:tcW w:w="6460" w:type="dxa"/>
            <w:shd w:val="clear" w:color="auto" w:fill="auto"/>
          </w:tcPr>
          <w:p w:rsidR="00695BAF" w:rsidRPr="004D362D" w:rsidRDefault="00695BAF" w:rsidP="00D60139">
            <w:pPr>
              <w:widowControl w:val="0"/>
              <w:jc w:val="both"/>
            </w:pPr>
            <w:r w:rsidRPr="004D362D">
              <w:t xml:space="preserve">Закупки товаров, работ и услуг осуществляются в соответствии с требованиями федерального законодательства о контрактной системе в сфере закупок товаров, работ, услуг для государственных нужд, что является профилактикой и противодействием коррупционным проявлениям в Комитете. </w:t>
            </w:r>
          </w:p>
          <w:p w:rsidR="00695BAF" w:rsidRPr="004D362D" w:rsidRDefault="00695BAF" w:rsidP="00D60139">
            <w:pPr>
              <w:widowControl w:val="0"/>
              <w:jc w:val="both"/>
            </w:pPr>
            <w:r w:rsidRPr="004D362D">
              <w:t xml:space="preserve">Сведения о закупках публикуется на официальном сайте РФ в установленном порядке на сайте </w:t>
            </w:r>
            <w:hyperlink r:id="rId13" w:history="1">
              <w:r w:rsidRPr="004D362D">
                <w:t>www.zakupki</w:t>
              </w:r>
            </w:hyperlink>
            <w:r w:rsidRPr="004D362D">
              <w:t>. gov.ru и являются общедоступными. Аукционы в электронной форме для нужд Комитета проводятся на электронной торговой площадке etp.zakaz.rf.ru.</w:t>
            </w:r>
          </w:p>
          <w:p w:rsidR="00695BAF" w:rsidRPr="004D362D" w:rsidRDefault="00695BAF" w:rsidP="00D60139">
            <w:pPr>
              <w:widowControl w:val="0"/>
              <w:jc w:val="both"/>
            </w:pPr>
            <w:r w:rsidRPr="004D362D">
              <w:t xml:space="preserve">В целях обеспечения деятельности Комитета закупки ведутся конкурентными способами закупок в форме аукциона в электронной форме, открытого конкурса в электронной форме. </w:t>
            </w:r>
          </w:p>
        </w:tc>
      </w:tr>
      <w:tr w:rsidR="00EF268C" w:rsidRPr="004D362D" w:rsidTr="007A5206">
        <w:trPr>
          <w:trHeight w:val="276"/>
          <w:tblHeader/>
        </w:trPr>
        <w:tc>
          <w:tcPr>
            <w:tcW w:w="4928" w:type="dxa"/>
            <w:shd w:val="clear" w:color="auto" w:fill="auto"/>
          </w:tcPr>
          <w:p w:rsidR="00695BAF" w:rsidRPr="004D362D" w:rsidRDefault="00695BAF" w:rsidP="00521048">
            <w:pPr>
              <w:autoSpaceDE w:val="0"/>
              <w:autoSpaceDN w:val="0"/>
              <w:adjustRightInd w:val="0"/>
              <w:jc w:val="both"/>
            </w:pPr>
            <w:r w:rsidRPr="004D362D">
              <w:t>6.2. Проведение анализа характеристик закупаемых товаров, работ, услуг в целях устранения условий, ограничивающих конкуренцию, а также обоснованности формирования начальной максимальной цены контрактов</w:t>
            </w:r>
          </w:p>
        </w:tc>
        <w:tc>
          <w:tcPr>
            <w:tcW w:w="2127"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отдел администрирования и бухгалтерского учета</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количество выявленных нарушений, в том числе связанных с конфликтом интересов, в единицах</w:t>
            </w:r>
          </w:p>
        </w:tc>
        <w:tc>
          <w:tcPr>
            <w:tcW w:w="6460" w:type="dxa"/>
            <w:shd w:val="clear" w:color="auto" w:fill="auto"/>
          </w:tcPr>
          <w:p w:rsidR="00695BAF" w:rsidRPr="004D362D" w:rsidRDefault="00695BAF" w:rsidP="00D60139">
            <w:pPr>
              <w:widowControl w:val="0"/>
              <w:jc w:val="both"/>
            </w:pPr>
            <w:r w:rsidRPr="004D362D">
              <w:t>Закупки товаров (работ, услуг) для нужд Комитета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Информация о планируемых закупках является прозрачной, общедоступной и размещается на Общероссийском официальном сайте http://zakupki. gov.ru в разделе «Планирование закупок» подраздел «Планы-графики закупок (44-ФЗ) планы закупки (223-ФЗ)».</w:t>
            </w:r>
          </w:p>
          <w:p w:rsidR="00695BAF" w:rsidRPr="004D362D" w:rsidRDefault="00695BAF" w:rsidP="00D60139">
            <w:pPr>
              <w:autoSpaceDE w:val="0"/>
              <w:autoSpaceDN w:val="0"/>
              <w:adjustRightInd w:val="0"/>
              <w:jc w:val="both"/>
            </w:pPr>
            <w:r w:rsidRPr="004D362D">
              <w:t xml:space="preserve">При составлении технических заданий, проводится анализ характеристик закупаемых товаров, работ, услуг в целях устранения условий ограничивающих конкуренцию. </w:t>
            </w:r>
          </w:p>
        </w:tc>
      </w:tr>
      <w:tr w:rsidR="00EF268C" w:rsidRPr="004D362D" w:rsidTr="007A5206">
        <w:trPr>
          <w:trHeight w:val="276"/>
          <w:tblHeader/>
        </w:trPr>
        <w:tc>
          <w:tcPr>
            <w:tcW w:w="4928"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 xml:space="preserve">6.3. Осуществление контроля в сфере закупок товаров, работ, услуг для обеспечения нужд Комитета </w:t>
            </w:r>
          </w:p>
        </w:tc>
        <w:tc>
          <w:tcPr>
            <w:tcW w:w="2127"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Комиссия при председателе Комитета по противодействию коррупции</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отчет отдела администрирования и бухгалтерского учета, в единицах</w:t>
            </w:r>
          </w:p>
        </w:tc>
        <w:tc>
          <w:tcPr>
            <w:tcW w:w="6460" w:type="dxa"/>
            <w:shd w:val="clear" w:color="auto" w:fill="auto"/>
          </w:tcPr>
          <w:p w:rsidR="00695BAF" w:rsidRPr="004D362D" w:rsidRDefault="00695BAF" w:rsidP="00D50F66">
            <w:pPr>
              <w:widowControl w:val="0"/>
            </w:pPr>
            <w:r w:rsidRPr="004D362D">
              <w:t>В целях недопущения возникновения конфликта интересов, выявления и минимизации коррупционных рисков осуществляется мониторинг за осуществлением закупок подведомственным учреждением.</w:t>
            </w:r>
          </w:p>
        </w:tc>
      </w:tr>
      <w:tr w:rsidR="00EF268C" w:rsidRPr="004D362D" w:rsidTr="007A5206">
        <w:trPr>
          <w:trHeight w:val="276"/>
          <w:tblHeader/>
        </w:trPr>
        <w:tc>
          <w:tcPr>
            <w:tcW w:w="4928" w:type="dxa"/>
            <w:shd w:val="clear" w:color="auto" w:fill="auto"/>
          </w:tcPr>
          <w:p w:rsidR="00695BAF" w:rsidRPr="004D362D" w:rsidRDefault="00695BAF" w:rsidP="00521048">
            <w:pPr>
              <w:widowControl w:val="0"/>
            </w:pPr>
            <w:r w:rsidRPr="004D362D">
              <w:lastRenderedPageBreak/>
              <w:t>6.4. Осуществление ведомственного контроля за закупками подведомственного учреждения, осуществляемого в соответствии с федеральными законами о закупках товаров, работ, услуг для обеспечения государственных нужд, в целях недопущения возникновения конфликта интересов, выявления и минимизации коррупционных рисков</w:t>
            </w:r>
          </w:p>
        </w:tc>
        <w:tc>
          <w:tcPr>
            <w:tcW w:w="2127" w:type="dxa"/>
            <w:shd w:val="clear" w:color="auto" w:fill="auto"/>
          </w:tcPr>
          <w:p w:rsidR="00695BAF" w:rsidRPr="004D362D" w:rsidRDefault="00695BAF" w:rsidP="00521048">
            <w:pPr>
              <w:pStyle w:val="ConsPlusNormal"/>
              <w:jc w:val="both"/>
              <w:rPr>
                <w:rFonts w:eastAsia="Times New Roman"/>
                <w:sz w:val="20"/>
                <w:szCs w:val="20"/>
              </w:rPr>
            </w:pPr>
            <w:r w:rsidRPr="004D362D">
              <w:rPr>
                <w:rFonts w:eastAsia="Times New Roman"/>
                <w:sz w:val="20"/>
                <w:szCs w:val="20"/>
              </w:rPr>
              <w:t>отдел администрирования и бухгалтерского учета</w:t>
            </w:r>
          </w:p>
        </w:tc>
        <w:tc>
          <w:tcPr>
            <w:tcW w:w="283" w:type="dxa"/>
            <w:shd w:val="clear" w:color="auto" w:fill="auto"/>
          </w:tcPr>
          <w:p w:rsidR="00695BAF" w:rsidRPr="004D362D" w:rsidRDefault="00695BAF" w:rsidP="00521048">
            <w:pPr>
              <w:pStyle w:val="ConsPlusNormal"/>
              <w:jc w:val="center"/>
              <w:rPr>
                <w:sz w:val="20"/>
                <w:szCs w:val="20"/>
              </w:rPr>
            </w:pPr>
          </w:p>
        </w:tc>
        <w:tc>
          <w:tcPr>
            <w:tcW w:w="2268" w:type="dxa"/>
            <w:shd w:val="clear" w:color="auto" w:fill="auto"/>
          </w:tcPr>
          <w:p w:rsidR="00695BAF" w:rsidRPr="004D362D" w:rsidRDefault="00695BAF" w:rsidP="00521048">
            <w:pPr>
              <w:pStyle w:val="ConsPlusNormal"/>
              <w:jc w:val="both"/>
              <w:rPr>
                <w:rFonts w:eastAsia="Times New Roman"/>
                <w:sz w:val="20"/>
                <w:szCs w:val="20"/>
              </w:rPr>
            </w:pPr>
            <w:r w:rsidRPr="004D362D">
              <w:rPr>
                <w:sz w:val="20"/>
                <w:szCs w:val="20"/>
              </w:rPr>
              <w:t>проведение контрольного мероприятия за осуществлением закупок подведомственным учреждением, в единицах</w:t>
            </w:r>
          </w:p>
        </w:tc>
        <w:tc>
          <w:tcPr>
            <w:tcW w:w="6460" w:type="dxa"/>
            <w:shd w:val="clear" w:color="auto" w:fill="auto"/>
          </w:tcPr>
          <w:p w:rsidR="00695BAF" w:rsidRPr="004D362D" w:rsidRDefault="00695BAF" w:rsidP="001C2AC7">
            <w:pPr>
              <w:jc w:val="both"/>
            </w:pPr>
            <w:r w:rsidRPr="004D362D">
              <w:t>В соответствии с Положением о проведении внутреннего финансового контроля в Комитете Республики Татарстан по охране объектов культурного наследия, утвержденным приказом Комитета от 18.12.2019 №273-П в целях реализации Федерального закона от 06.12.2011 №402-ФЗ «О бухгалтерском учете» проводится работа по осуществлению ведомственного финансового контроля деятельности ГБУ «Центр культурного наследия Татарстана» по выполнению государственного задания и расходованием бюджетных средств. В целях недопущения возникновения конфликта интересов, выявления и минимизации коррупционных рисков осуществляется мониторинг за осуществлением закупок учреждением. Нарушения не установлены.</w:t>
            </w:r>
          </w:p>
          <w:p w:rsidR="00695BAF" w:rsidRPr="004D362D" w:rsidRDefault="00695BAF" w:rsidP="001C2AC7">
            <w:pPr>
              <w:widowControl w:val="0"/>
            </w:pPr>
            <w:r w:rsidRPr="004D362D">
              <w:t>В Устав учреждения внесены нормы, регулирующие вопросы предотвращения и урегулирования конфликта интересов.</w:t>
            </w:r>
          </w:p>
        </w:tc>
      </w:tr>
      <w:tr w:rsidR="00EF268C" w:rsidRPr="004D362D" w:rsidTr="007A5206">
        <w:trPr>
          <w:trHeight w:val="276"/>
          <w:tblHeader/>
        </w:trPr>
        <w:tc>
          <w:tcPr>
            <w:tcW w:w="16066" w:type="dxa"/>
            <w:gridSpan w:val="5"/>
            <w:shd w:val="clear" w:color="auto" w:fill="auto"/>
          </w:tcPr>
          <w:p w:rsidR="00695BAF" w:rsidRPr="004D362D" w:rsidRDefault="00695BAF" w:rsidP="00521048">
            <w:pPr>
              <w:autoSpaceDE w:val="0"/>
              <w:autoSpaceDN w:val="0"/>
              <w:adjustRightInd w:val="0"/>
              <w:jc w:val="center"/>
              <w:rPr>
                <w:rFonts w:eastAsiaTheme="minorEastAsia"/>
              </w:rPr>
            </w:pPr>
            <w:r w:rsidRPr="004D362D">
              <w:t>Задача 7. Повышение эффективности взаимодействия с правоохранительными органами</w:t>
            </w:r>
          </w:p>
        </w:tc>
      </w:tr>
      <w:tr w:rsidR="004D362D" w:rsidRPr="004D362D" w:rsidTr="007A5206">
        <w:trPr>
          <w:trHeight w:val="276"/>
          <w:tblHeader/>
        </w:trPr>
        <w:tc>
          <w:tcPr>
            <w:tcW w:w="4928" w:type="dxa"/>
            <w:shd w:val="clear" w:color="auto" w:fill="auto"/>
          </w:tcPr>
          <w:p w:rsidR="00500C5F" w:rsidRPr="004D362D" w:rsidRDefault="00500C5F" w:rsidP="00521048">
            <w:pPr>
              <w:autoSpaceDE w:val="0"/>
              <w:autoSpaceDN w:val="0"/>
              <w:adjustRightInd w:val="0"/>
              <w:jc w:val="both"/>
            </w:pPr>
            <w:r w:rsidRPr="004D362D">
              <w:t>7.1. Организация проведения тематических совещаний (семинаров) с собственниками и иными законными владельцами объектов культурного наследия по профилактике нарушений в области охраны объектов культурного наследия</w:t>
            </w:r>
          </w:p>
        </w:tc>
        <w:tc>
          <w:tcPr>
            <w:tcW w:w="2127" w:type="dxa"/>
            <w:shd w:val="clear" w:color="auto" w:fill="auto"/>
          </w:tcPr>
          <w:p w:rsidR="00500C5F" w:rsidRPr="004D362D" w:rsidRDefault="00500C5F" w:rsidP="00521048">
            <w:pPr>
              <w:pStyle w:val="ConsPlusNormal"/>
              <w:jc w:val="both"/>
              <w:rPr>
                <w:rFonts w:eastAsia="Times New Roman"/>
                <w:sz w:val="20"/>
                <w:szCs w:val="20"/>
              </w:rPr>
            </w:pPr>
            <w:r w:rsidRPr="004D362D">
              <w:rPr>
                <w:rFonts w:eastAsia="Times New Roman"/>
                <w:sz w:val="20"/>
                <w:szCs w:val="20"/>
              </w:rPr>
              <w:t>отдел сохранения объектов культурного наследия; отдел археологии и учета объектов культурного наследия</w:t>
            </w:r>
          </w:p>
        </w:tc>
        <w:tc>
          <w:tcPr>
            <w:tcW w:w="283" w:type="dxa"/>
            <w:shd w:val="clear" w:color="auto" w:fill="auto"/>
          </w:tcPr>
          <w:p w:rsidR="00500C5F" w:rsidRPr="004D362D" w:rsidRDefault="00500C5F" w:rsidP="00521048">
            <w:pPr>
              <w:pStyle w:val="ConsPlusNormal"/>
              <w:jc w:val="center"/>
              <w:rPr>
                <w:sz w:val="20"/>
                <w:szCs w:val="20"/>
              </w:rPr>
            </w:pPr>
          </w:p>
        </w:tc>
        <w:tc>
          <w:tcPr>
            <w:tcW w:w="2268" w:type="dxa"/>
            <w:shd w:val="clear" w:color="auto" w:fill="auto"/>
          </w:tcPr>
          <w:p w:rsidR="00500C5F" w:rsidRPr="004D362D" w:rsidRDefault="00500C5F" w:rsidP="00521048">
            <w:pPr>
              <w:pStyle w:val="ConsPlusNormal"/>
              <w:jc w:val="both"/>
              <w:rPr>
                <w:rFonts w:eastAsia="Times New Roman"/>
                <w:sz w:val="20"/>
                <w:szCs w:val="20"/>
              </w:rPr>
            </w:pPr>
            <w:r w:rsidRPr="004D362D">
              <w:rPr>
                <w:sz w:val="20"/>
                <w:szCs w:val="20"/>
              </w:rPr>
              <w:t>количество проведенных совещаний (семинаров) по профилактике нарушений в области охраны объектов культурного наследия, в единицах</w:t>
            </w:r>
          </w:p>
        </w:tc>
        <w:tc>
          <w:tcPr>
            <w:tcW w:w="6460" w:type="dxa"/>
            <w:shd w:val="clear" w:color="auto" w:fill="auto"/>
          </w:tcPr>
          <w:p w:rsidR="00500C5F" w:rsidRPr="004D362D" w:rsidRDefault="00500C5F" w:rsidP="005217C6">
            <w:pPr>
              <w:autoSpaceDE w:val="0"/>
              <w:autoSpaceDN w:val="0"/>
              <w:jc w:val="both"/>
            </w:pPr>
            <w:r w:rsidRPr="004D362D">
              <w:t xml:space="preserve">Проведение тематических совещаний (семинаров) с собственниками и иными законными владельцами объектов культурного наследия предусмотрено Программами по профилактике нарушений обязательных  требований законодательства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Республики Татарстан на 2019 – 2021 годы </w:t>
            </w:r>
            <w:r w:rsidRPr="004D362D">
              <w:rPr>
                <w:i/>
              </w:rPr>
              <w:t>(приказ Комитета от 20.12.2018 №127, от 20.12.2018 №127а),</w:t>
            </w:r>
            <w:r w:rsidRPr="004D362D">
              <w:t xml:space="preserve"> в отношении ОКН регионального, местного (муниципального) значения, выявленных ОКН, и  ОКН федерального значения соответственно, а также планом-графиком проведения публичных мероприятий (обсуждений) по профилактике нарушений обязательных требований в области охраны объектов культурного наследия и планом-графиком публичных мероприятий по обсуждению результатов правоприменительной практики при организации и осуществлении регионального государственного надзора, утвержденными Комитетом на текущий год. </w:t>
            </w:r>
          </w:p>
          <w:p w:rsidR="00500C5F" w:rsidRPr="004D362D" w:rsidRDefault="00500C5F" w:rsidP="005217C6">
            <w:pPr>
              <w:autoSpaceDE w:val="0"/>
              <w:autoSpaceDN w:val="0"/>
              <w:jc w:val="both"/>
            </w:pPr>
            <w:r w:rsidRPr="004D362D">
              <w:t xml:space="preserve">Запланированная на 31 марта встреча с собственниками объектов культурного наследия в связи с объявленным особым санитарно-эпидемиологическим режимом перенесена на более поздний срок. </w:t>
            </w:r>
          </w:p>
          <w:p w:rsidR="00500C5F" w:rsidRPr="004D362D" w:rsidRDefault="00500C5F" w:rsidP="005217C6">
            <w:pPr>
              <w:autoSpaceDE w:val="0"/>
              <w:autoSpaceDN w:val="0"/>
              <w:jc w:val="both"/>
            </w:pPr>
            <w:r w:rsidRPr="004D362D">
              <w:t xml:space="preserve">Комитет просит всех заинтересованных лиц направлять свои вопросы по профилактике нарушений обязательных требований в области охраны объектов культурного наследия на электронную почту Комитета - komitet.okn@tatar.ru с указанием темы письма «Вопросы для мероприятий по профилактике». Результаты рассмотрения направленных вопросов, а также доклады о результатах правоприменительной практики при организации и осуществлении регионального государственного надзора и федерального государственного надзора за I и II квартал 2020 года размещаются на сайте Комитета в разделе «Государственный надзор (контроль)». </w:t>
            </w:r>
          </w:p>
          <w:p w:rsidR="00500C5F" w:rsidRPr="004D362D" w:rsidRDefault="00500C5F" w:rsidP="005217C6">
            <w:pPr>
              <w:autoSpaceDE w:val="0"/>
              <w:autoSpaceDN w:val="0"/>
              <w:jc w:val="both"/>
            </w:pPr>
            <w:r w:rsidRPr="004D362D">
              <w:t xml:space="preserve">На встречах темой для обсуждения выбираются вопросы, возникающие при реализации положений Федерального закона от 25.06.2002 №73-ФЗ «Об объектах культурного наследия (памятниках истории и культуры) народов Российской Федерации», регламентирующих обеспечение мер по сохранности объекта культурного наследия при осуществлении земляных, строительных, мелиоративных, хозяйственных и иных работ. Обзор правоприменительной практики по итогам за 2019 год и материалы для собственников размещены на официальном сайте Комитета в разделе «Государственный надзор». </w:t>
            </w:r>
          </w:p>
        </w:tc>
      </w:tr>
      <w:tr w:rsidR="004D362D" w:rsidRPr="004D362D" w:rsidTr="007A5206">
        <w:trPr>
          <w:trHeight w:val="276"/>
          <w:tblHeader/>
        </w:trPr>
        <w:tc>
          <w:tcPr>
            <w:tcW w:w="4928" w:type="dxa"/>
            <w:shd w:val="clear" w:color="auto" w:fill="auto"/>
          </w:tcPr>
          <w:p w:rsidR="005514C7" w:rsidRPr="004D362D" w:rsidRDefault="005514C7" w:rsidP="007A5206">
            <w:pPr>
              <w:autoSpaceDE w:val="0"/>
              <w:autoSpaceDN w:val="0"/>
              <w:adjustRightInd w:val="0"/>
              <w:jc w:val="both"/>
            </w:pPr>
            <w:r w:rsidRPr="004D362D">
              <w:t>7.2. Разработка и распространение для собственников и иных законных владельцев объектов культурного наследия методических указаний и рекомендаций по регулированию процессов в части согласования и получения разрешения на производство работ по сохранению объектов культурного наследия</w:t>
            </w:r>
          </w:p>
        </w:tc>
        <w:tc>
          <w:tcPr>
            <w:tcW w:w="2127" w:type="dxa"/>
            <w:shd w:val="clear" w:color="auto" w:fill="auto"/>
          </w:tcPr>
          <w:p w:rsidR="005514C7" w:rsidRPr="004D362D" w:rsidRDefault="005514C7" w:rsidP="007A5206">
            <w:pPr>
              <w:pStyle w:val="ConsPlusNormal"/>
              <w:jc w:val="both"/>
              <w:rPr>
                <w:rFonts w:eastAsia="Times New Roman"/>
                <w:sz w:val="20"/>
                <w:szCs w:val="20"/>
              </w:rPr>
            </w:pPr>
            <w:r w:rsidRPr="004D362D">
              <w:rPr>
                <w:rFonts w:eastAsia="Times New Roman"/>
                <w:sz w:val="20"/>
                <w:szCs w:val="20"/>
              </w:rPr>
              <w:t>отдел сохранения объектов культурного наследия; отдел археологии и учета объектов культурного наследия</w:t>
            </w:r>
          </w:p>
        </w:tc>
        <w:tc>
          <w:tcPr>
            <w:tcW w:w="283" w:type="dxa"/>
            <w:shd w:val="clear" w:color="auto" w:fill="auto"/>
          </w:tcPr>
          <w:p w:rsidR="005514C7" w:rsidRPr="004D362D" w:rsidRDefault="005514C7" w:rsidP="007A5206">
            <w:pPr>
              <w:pStyle w:val="ConsPlusNormal"/>
              <w:jc w:val="center"/>
              <w:rPr>
                <w:sz w:val="20"/>
                <w:szCs w:val="20"/>
              </w:rPr>
            </w:pPr>
          </w:p>
        </w:tc>
        <w:tc>
          <w:tcPr>
            <w:tcW w:w="2268" w:type="dxa"/>
            <w:shd w:val="clear" w:color="auto" w:fill="auto"/>
          </w:tcPr>
          <w:p w:rsidR="005514C7" w:rsidRPr="004D362D" w:rsidRDefault="005514C7" w:rsidP="007A5206">
            <w:pPr>
              <w:pStyle w:val="ConsPlusNormal"/>
              <w:jc w:val="both"/>
              <w:rPr>
                <w:sz w:val="20"/>
                <w:szCs w:val="20"/>
              </w:rPr>
            </w:pPr>
            <w:r w:rsidRPr="004D362D">
              <w:rPr>
                <w:sz w:val="20"/>
                <w:szCs w:val="20"/>
              </w:rPr>
              <w:t>количество разработанных методических указаний и рекомендаций по регулированию процессов в части согласования и получения разрешения на производство работ по сохранению объектов культурного наследия, в единицах</w:t>
            </w:r>
          </w:p>
        </w:tc>
        <w:tc>
          <w:tcPr>
            <w:tcW w:w="6460" w:type="dxa"/>
            <w:shd w:val="clear" w:color="auto" w:fill="auto"/>
          </w:tcPr>
          <w:p w:rsidR="005514C7" w:rsidRPr="004D362D" w:rsidRDefault="005514C7" w:rsidP="005217C6">
            <w:pPr>
              <w:autoSpaceDE w:val="0"/>
              <w:autoSpaceDN w:val="0"/>
              <w:jc w:val="both"/>
            </w:pPr>
            <w:r w:rsidRPr="004D362D">
              <w:t>Административный регламент предоставления государственной услуги по выдаче разрешения на проведение работ по сохранению объекта культурного наследия регионального значения, выявленного объекта культурного наследия (приказ Комитета от 28.12.2018 №138).</w:t>
            </w:r>
          </w:p>
          <w:p w:rsidR="005514C7" w:rsidRPr="004D362D" w:rsidRDefault="005514C7" w:rsidP="005217C6">
            <w:pPr>
              <w:autoSpaceDE w:val="0"/>
              <w:autoSpaceDN w:val="0"/>
              <w:jc w:val="both"/>
            </w:pPr>
            <w:r w:rsidRPr="004D362D">
              <w:t>Кроме того, в целях распространения для собственников и иных законных владельцев объектов культурного наследия методических указаний и рекомендаций по регулированию процессов в части согласования и получения разрешения на производство работ по сохранению объектов культурного наследия, на официальном сайте Комитета размещена следующая информация:</w:t>
            </w:r>
          </w:p>
          <w:p w:rsidR="005514C7" w:rsidRPr="004D362D" w:rsidRDefault="005514C7" w:rsidP="005217C6">
            <w:pPr>
              <w:autoSpaceDE w:val="0"/>
              <w:autoSpaceDN w:val="0"/>
              <w:jc w:val="both"/>
            </w:pPr>
            <w:r w:rsidRPr="004D362D">
              <w:t>о получении разрешения на проведение научно-исследовательских работ (зондажи, шурфы и т.д.);</w:t>
            </w:r>
          </w:p>
          <w:p w:rsidR="005514C7" w:rsidRPr="004D362D" w:rsidRDefault="005514C7" w:rsidP="005217C6">
            <w:pPr>
              <w:autoSpaceDE w:val="0"/>
              <w:autoSpaceDN w:val="0"/>
              <w:jc w:val="both"/>
            </w:pPr>
            <w:r w:rsidRPr="004D362D">
              <w:t>перечень документов для получения разрешения проведения научно-исследовательских и изыскательских работ на объекте культурного наследия (при проведении разрушающим методом – зондажи, шурфы);</w:t>
            </w:r>
          </w:p>
          <w:p w:rsidR="005514C7" w:rsidRPr="004D362D" w:rsidRDefault="005514C7" w:rsidP="005217C6">
            <w:pPr>
              <w:autoSpaceDE w:val="0"/>
              <w:autoSpaceDN w:val="0"/>
              <w:jc w:val="both"/>
            </w:pPr>
            <w:r w:rsidRPr="004D362D">
              <w:t>заявление на получение разрешения на проведение работ по реставрации, приспособлению;</w:t>
            </w:r>
          </w:p>
          <w:p w:rsidR="005514C7" w:rsidRPr="004D362D" w:rsidRDefault="005514C7" w:rsidP="005217C6">
            <w:pPr>
              <w:autoSpaceDE w:val="0"/>
              <w:autoSpaceDN w:val="0"/>
              <w:jc w:val="both"/>
            </w:pPr>
            <w:r w:rsidRPr="004D362D">
              <w:t>перечень документов для получения разрешения на реставрацию и приспособление;</w:t>
            </w:r>
          </w:p>
          <w:p w:rsidR="005514C7" w:rsidRPr="004D362D" w:rsidRDefault="005514C7" w:rsidP="005217C6">
            <w:pPr>
              <w:autoSpaceDE w:val="0"/>
              <w:autoSpaceDN w:val="0"/>
              <w:jc w:val="both"/>
            </w:pPr>
            <w:r w:rsidRPr="004D362D">
              <w:t>заявление на получение разрешения на проведение работ по консервации, противоаварийные работы;</w:t>
            </w:r>
          </w:p>
          <w:p w:rsidR="005514C7" w:rsidRPr="004D362D" w:rsidRDefault="005514C7" w:rsidP="005217C6">
            <w:pPr>
              <w:autoSpaceDE w:val="0"/>
              <w:autoSpaceDN w:val="0"/>
              <w:jc w:val="both"/>
            </w:pPr>
            <w:r w:rsidRPr="004D362D">
              <w:t>перечень документов для получения разрешения на противоаварийные работы, консервацию;</w:t>
            </w:r>
          </w:p>
          <w:p w:rsidR="005514C7" w:rsidRPr="004D362D" w:rsidRDefault="005514C7" w:rsidP="005217C6">
            <w:pPr>
              <w:autoSpaceDE w:val="0"/>
              <w:autoSpaceDN w:val="0"/>
              <w:jc w:val="both"/>
            </w:pPr>
            <w:r w:rsidRPr="004D362D">
              <w:t>заявление на получение разрешения на проведение ремонтных работ;</w:t>
            </w:r>
          </w:p>
          <w:p w:rsidR="005514C7" w:rsidRPr="004D362D" w:rsidRDefault="005514C7" w:rsidP="005217C6">
            <w:pPr>
              <w:autoSpaceDE w:val="0"/>
              <w:autoSpaceDN w:val="0"/>
              <w:jc w:val="both"/>
            </w:pPr>
            <w:r w:rsidRPr="004D362D">
              <w:t xml:space="preserve">перечень документов для получения разрешения на ремонтные работы; </w:t>
            </w:r>
          </w:p>
          <w:p w:rsidR="005514C7" w:rsidRPr="004D362D" w:rsidRDefault="005514C7" w:rsidP="005217C6">
            <w:pPr>
              <w:autoSpaceDE w:val="0"/>
              <w:autoSpaceDN w:val="0"/>
              <w:jc w:val="both"/>
            </w:pPr>
            <w:r w:rsidRPr="004D362D">
              <w:t>исчерпывающий перечень оснований для отказа в выдаче разрешения.</w:t>
            </w:r>
          </w:p>
          <w:p w:rsidR="005514C7" w:rsidRPr="004D362D" w:rsidRDefault="005514C7" w:rsidP="005217C6">
            <w:pPr>
              <w:autoSpaceDE w:val="0"/>
              <w:autoSpaceDN w:val="0"/>
              <w:adjustRightInd w:val="0"/>
              <w:jc w:val="both"/>
            </w:pPr>
            <w:r w:rsidRPr="004D362D">
              <w:t>Также на официальном сайте Комитета размещен перечень правовых актов и их отдельных частей (положений), содержащих обязательные требования, соблюдение которых оценивается при проведении мероприятий по государственному надзору за состоянием, содержанием, сохранением, использованием, популяризацией и государственной охраной объектов культурного наследия.</w:t>
            </w:r>
          </w:p>
        </w:tc>
      </w:tr>
      <w:tr w:rsidR="00EF268C" w:rsidRPr="004D362D" w:rsidTr="007A5206">
        <w:trPr>
          <w:trHeight w:val="276"/>
          <w:tblHeader/>
        </w:trPr>
        <w:tc>
          <w:tcPr>
            <w:tcW w:w="16066" w:type="dxa"/>
            <w:gridSpan w:val="5"/>
            <w:shd w:val="clear" w:color="auto" w:fill="auto"/>
          </w:tcPr>
          <w:p w:rsidR="00695BAF" w:rsidRPr="004D362D" w:rsidRDefault="00695BAF" w:rsidP="007A5206">
            <w:pPr>
              <w:autoSpaceDE w:val="0"/>
              <w:autoSpaceDN w:val="0"/>
              <w:adjustRightInd w:val="0"/>
              <w:rPr>
                <w:rFonts w:eastAsiaTheme="minorEastAsia"/>
              </w:rPr>
            </w:pPr>
            <w:r w:rsidRPr="004D362D">
              <w:t>Задача 8. Усиление мер по минимизации бытовой коррупции</w:t>
            </w:r>
          </w:p>
        </w:tc>
      </w:tr>
      <w:tr w:rsidR="005514C7" w:rsidRPr="004D362D" w:rsidTr="007A5206">
        <w:trPr>
          <w:trHeight w:val="276"/>
          <w:tblHeader/>
        </w:trPr>
        <w:tc>
          <w:tcPr>
            <w:tcW w:w="4928" w:type="dxa"/>
            <w:shd w:val="clear" w:color="auto" w:fill="auto"/>
          </w:tcPr>
          <w:p w:rsidR="005514C7" w:rsidRPr="004D362D" w:rsidRDefault="005514C7" w:rsidP="00521048">
            <w:pPr>
              <w:pStyle w:val="ConsPlusNormal"/>
              <w:jc w:val="both"/>
              <w:rPr>
                <w:rFonts w:eastAsia="Times New Roman"/>
                <w:sz w:val="20"/>
                <w:szCs w:val="20"/>
              </w:rPr>
            </w:pPr>
            <w:r w:rsidRPr="004D362D">
              <w:rPr>
                <w:rFonts w:eastAsia="Times New Roman"/>
                <w:sz w:val="20"/>
                <w:szCs w:val="20"/>
              </w:rPr>
              <w:t>8.1. 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w:t>
            </w:r>
          </w:p>
        </w:tc>
        <w:tc>
          <w:tcPr>
            <w:tcW w:w="2127" w:type="dxa"/>
            <w:shd w:val="clear" w:color="auto" w:fill="auto"/>
          </w:tcPr>
          <w:p w:rsidR="005514C7" w:rsidRPr="004D362D" w:rsidRDefault="005514C7" w:rsidP="00521048">
            <w:pPr>
              <w:pStyle w:val="ConsPlusNormal"/>
              <w:jc w:val="both"/>
              <w:rPr>
                <w:rFonts w:eastAsia="Times New Roman"/>
                <w:sz w:val="20"/>
                <w:szCs w:val="20"/>
              </w:rPr>
            </w:pPr>
            <w:r w:rsidRPr="004D362D">
              <w:rPr>
                <w:rFonts w:eastAsia="Times New Roman"/>
                <w:sz w:val="20"/>
                <w:szCs w:val="20"/>
              </w:rPr>
              <w:t>отдел правовой, организационной и кадровой работы</w:t>
            </w:r>
          </w:p>
        </w:tc>
        <w:tc>
          <w:tcPr>
            <w:tcW w:w="283" w:type="dxa"/>
            <w:shd w:val="clear" w:color="auto" w:fill="auto"/>
          </w:tcPr>
          <w:p w:rsidR="005514C7" w:rsidRPr="004D362D" w:rsidRDefault="005514C7" w:rsidP="00521048">
            <w:pPr>
              <w:pStyle w:val="ConsPlusNormal"/>
              <w:jc w:val="center"/>
              <w:rPr>
                <w:rFonts w:eastAsia="Times New Roman"/>
                <w:sz w:val="20"/>
                <w:szCs w:val="20"/>
              </w:rPr>
            </w:pPr>
          </w:p>
        </w:tc>
        <w:tc>
          <w:tcPr>
            <w:tcW w:w="2268" w:type="dxa"/>
            <w:shd w:val="clear" w:color="auto" w:fill="auto"/>
          </w:tcPr>
          <w:p w:rsidR="005514C7" w:rsidRPr="004D362D" w:rsidRDefault="005514C7" w:rsidP="0002736B">
            <w:pPr>
              <w:pStyle w:val="ConsPlusNormal"/>
              <w:rPr>
                <w:rFonts w:eastAsia="Times New Roman"/>
                <w:sz w:val="20"/>
                <w:szCs w:val="20"/>
              </w:rPr>
            </w:pPr>
            <w:r w:rsidRPr="004D362D">
              <w:rPr>
                <w:rFonts w:eastAsia="Times New Roman"/>
                <w:sz w:val="20"/>
                <w:szCs w:val="20"/>
              </w:rPr>
              <w:t xml:space="preserve">Доля граждан, поступивших на вакантные должности гражданской службы по конкурсу и (или) из резерва, </w:t>
            </w:r>
            <w:r w:rsidRPr="004D362D">
              <w:rPr>
                <w:sz w:val="20"/>
                <w:szCs w:val="20"/>
              </w:rPr>
              <w:t>в процентах</w:t>
            </w:r>
          </w:p>
        </w:tc>
        <w:tc>
          <w:tcPr>
            <w:tcW w:w="6460" w:type="dxa"/>
            <w:shd w:val="clear" w:color="auto" w:fill="auto"/>
          </w:tcPr>
          <w:p w:rsidR="005514C7" w:rsidRPr="004D362D" w:rsidRDefault="005514C7" w:rsidP="005217C6">
            <w:pPr>
              <w:widowControl w:val="0"/>
              <w:jc w:val="both"/>
            </w:pPr>
            <w:r w:rsidRPr="004D362D">
              <w:t xml:space="preserve">Прием граждан на государственную гражданскую службу в Комитет осуществляется на конкурсной основе с проведением установленных федеральным и республиканским законодательством конкурсных (оценочных) процедур для участников конкурса. На официальном сайте Комитета ведется системная работа по наполнению и обновлению информации во вкладке «Кадровая политика». </w:t>
            </w:r>
          </w:p>
          <w:p w:rsidR="005514C7" w:rsidRPr="004D362D" w:rsidRDefault="005514C7" w:rsidP="005514C7">
            <w:pPr>
              <w:widowControl w:val="0"/>
              <w:jc w:val="both"/>
            </w:pPr>
            <w:r w:rsidRPr="004D362D">
              <w:t xml:space="preserve">Для вновь принятых на государственную гражданскую службу и служащих, в Комитете проводится разъяснительная работа по соблюдению требований, ограничений и запретов, связанных с прохождением государственной гражданской службы Республики Татарстан. </w:t>
            </w:r>
          </w:p>
        </w:tc>
      </w:tr>
      <w:tr w:rsidR="005514C7" w:rsidRPr="004D362D" w:rsidTr="007A5206">
        <w:trPr>
          <w:trHeight w:val="276"/>
          <w:tblHeader/>
        </w:trPr>
        <w:tc>
          <w:tcPr>
            <w:tcW w:w="4928" w:type="dxa"/>
            <w:shd w:val="clear" w:color="auto" w:fill="auto"/>
          </w:tcPr>
          <w:p w:rsidR="005514C7" w:rsidRPr="004D362D" w:rsidRDefault="005514C7" w:rsidP="00521048">
            <w:pPr>
              <w:pStyle w:val="ConsPlusNormal"/>
              <w:jc w:val="both"/>
              <w:rPr>
                <w:rFonts w:eastAsia="Times New Roman"/>
                <w:sz w:val="20"/>
                <w:szCs w:val="20"/>
              </w:rPr>
            </w:pPr>
            <w:r w:rsidRPr="004D362D">
              <w:rPr>
                <w:rFonts w:eastAsia="Times New Roman"/>
                <w:sz w:val="20"/>
                <w:szCs w:val="20"/>
              </w:rPr>
              <w:t>8.2. Проведение семинаров с работниками Комитета на тему формирования нетерпимого отношения к проявлениям коррупции, в том числе "бытовой коррупции", по изучению антикоррупционного законодательства</w:t>
            </w:r>
          </w:p>
        </w:tc>
        <w:tc>
          <w:tcPr>
            <w:tcW w:w="2127" w:type="dxa"/>
            <w:shd w:val="clear" w:color="auto" w:fill="auto"/>
          </w:tcPr>
          <w:p w:rsidR="005514C7" w:rsidRPr="004D362D" w:rsidRDefault="005514C7" w:rsidP="00521048">
            <w:pPr>
              <w:pStyle w:val="ConsPlusNormal"/>
              <w:jc w:val="both"/>
              <w:rPr>
                <w:rFonts w:eastAsia="Times New Roman"/>
                <w:sz w:val="20"/>
                <w:szCs w:val="20"/>
              </w:rPr>
            </w:pPr>
            <w:r w:rsidRPr="004D362D">
              <w:rPr>
                <w:rFonts w:eastAsia="Times New Roman"/>
                <w:sz w:val="20"/>
                <w:szCs w:val="20"/>
              </w:rPr>
              <w:t>отдел правовой, организационной и кадровой работы</w:t>
            </w:r>
          </w:p>
        </w:tc>
        <w:tc>
          <w:tcPr>
            <w:tcW w:w="283" w:type="dxa"/>
            <w:shd w:val="clear" w:color="auto" w:fill="auto"/>
          </w:tcPr>
          <w:p w:rsidR="005514C7" w:rsidRPr="004D362D" w:rsidRDefault="005514C7" w:rsidP="00521048">
            <w:pPr>
              <w:pStyle w:val="ConsPlusNormal"/>
              <w:jc w:val="center"/>
              <w:rPr>
                <w:rFonts w:eastAsia="Times New Roman"/>
                <w:sz w:val="20"/>
                <w:szCs w:val="20"/>
              </w:rPr>
            </w:pPr>
          </w:p>
        </w:tc>
        <w:tc>
          <w:tcPr>
            <w:tcW w:w="2268" w:type="dxa"/>
            <w:shd w:val="clear" w:color="auto" w:fill="auto"/>
          </w:tcPr>
          <w:p w:rsidR="005514C7" w:rsidRPr="004D362D" w:rsidRDefault="005514C7" w:rsidP="00521048">
            <w:pPr>
              <w:pStyle w:val="ConsPlusNormal"/>
              <w:jc w:val="both"/>
              <w:rPr>
                <w:rFonts w:eastAsia="Times New Roman"/>
                <w:sz w:val="20"/>
                <w:szCs w:val="20"/>
              </w:rPr>
            </w:pPr>
            <w:r w:rsidRPr="004D362D">
              <w:rPr>
                <w:rFonts w:eastAsia="Times New Roman"/>
                <w:sz w:val="20"/>
                <w:szCs w:val="20"/>
              </w:rPr>
              <w:t>Количество проведенных семинаров, в единицах</w:t>
            </w:r>
          </w:p>
        </w:tc>
        <w:tc>
          <w:tcPr>
            <w:tcW w:w="6460" w:type="dxa"/>
            <w:shd w:val="clear" w:color="auto" w:fill="auto"/>
          </w:tcPr>
          <w:p w:rsidR="005514C7" w:rsidRPr="004D362D" w:rsidRDefault="005514C7" w:rsidP="00A70CB3">
            <w:pPr>
              <w:autoSpaceDE w:val="0"/>
              <w:autoSpaceDN w:val="0"/>
              <w:adjustRightInd w:val="0"/>
            </w:pPr>
            <w:r w:rsidRPr="004D362D">
              <w:t xml:space="preserve">В период подготовки документов и заполнения сведений о доходах, расходах, имуществе и обязательствах имущественного характера для служащих в марте месяце проведен семинар. </w:t>
            </w:r>
          </w:p>
        </w:tc>
      </w:tr>
      <w:tr w:rsidR="004D362D" w:rsidRPr="004D362D" w:rsidTr="007A5206">
        <w:trPr>
          <w:trHeight w:val="276"/>
          <w:tblHeader/>
        </w:trPr>
        <w:tc>
          <w:tcPr>
            <w:tcW w:w="4928" w:type="dxa"/>
            <w:shd w:val="clear" w:color="auto" w:fill="auto"/>
          </w:tcPr>
          <w:p w:rsidR="005514C7" w:rsidRPr="004D362D" w:rsidRDefault="005514C7" w:rsidP="00521048">
            <w:pPr>
              <w:pStyle w:val="ConsPlusNormal"/>
              <w:jc w:val="both"/>
              <w:rPr>
                <w:sz w:val="20"/>
                <w:szCs w:val="20"/>
              </w:rPr>
            </w:pPr>
            <w:r w:rsidRPr="004D362D">
              <w:rPr>
                <w:sz w:val="20"/>
                <w:szCs w:val="20"/>
              </w:rPr>
              <w:lastRenderedPageBreak/>
              <w:t>8.3. Информационное сопровождение мероприятий антикоррупционной деятельности Комитета</w:t>
            </w:r>
          </w:p>
        </w:tc>
        <w:tc>
          <w:tcPr>
            <w:tcW w:w="2127" w:type="dxa"/>
            <w:shd w:val="clear" w:color="auto" w:fill="auto"/>
          </w:tcPr>
          <w:p w:rsidR="005514C7" w:rsidRPr="004D362D" w:rsidRDefault="005514C7" w:rsidP="00521048">
            <w:pPr>
              <w:pStyle w:val="ConsPlusNormal"/>
              <w:jc w:val="both"/>
              <w:rPr>
                <w:sz w:val="20"/>
                <w:szCs w:val="20"/>
              </w:rPr>
            </w:pPr>
            <w:r w:rsidRPr="004D362D">
              <w:rPr>
                <w:sz w:val="20"/>
                <w:szCs w:val="20"/>
              </w:rPr>
              <w:t>ответственное лицо за работу по профилактике коррупционных и иных правонарушений, ответственное лицо за взаимодействие со СМИ</w:t>
            </w:r>
          </w:p>
        </w:tc>
        <w:tc>
          <w:tcPr>
            <w:tcW w:w="283" w:type="dxa"/>
            <w:shd w:val="clear" w:color="auto" w:fill="auto"/>
          </w:tcPr>
          <w:p w:rsidR="005514C7" w:rsidRPr="004D362D" w:rsidRDefault="005514C7" w:rsidP="00521048">
            <w:pPr>
              <w:pStyle w:val="ConsPlusNormal"/>
              <w:jc w:val="center"/>
              <w:rPr>
                <w:sz w:val="20"/>
                <w:szCs w:val="20"/>
              </w:rPr>
            </w:pPr>
          </w:p>
        </w:tc>
        <w:tc>
          <w:tcPr>
            <w:tcW w:w="2268" w:type="dxa"/>
            <w:shd w:val="clear" w:color="auto" w:fill="auto"/>
          </w:tcPr>
          <w:p w:rsidR="005514C7" w:rsidRPr="004D362D" w:rsidRDefault="005514C7" w:rsidP="00521048">
            <w:pPr>
              <w:pStyle w:val="ConsPlusNormal"/>
              <w:jc w:val="both"/>
              <w:rPr>
                <w:rFonts w:eastAsia="Times New Roman"/>
                <w:sz w:val="20"/>
                <w:szCs w:val="20"/>
              </w:rPr>
            </w:pPr>
            <w:r w:rsidRPr="004D362D">
              <w:rPr>
                <w:rFonts w:eastAsia="Times New Roman"/>
                <w:sz w:val="20"/>
                <w:szCs w:val="20"/>
              </w:rPr>
              <w:t>Размещение на сайте информации о мероприятиях антикоррупционной направленности, проводимых в Комитете, в процентах</w:t>
            </w:r>
          </w:p>
        </w:tc>
        <w:tc>
          <w:tcPr>
            <w:tcW w:w="6460" w:type="dxa"/>
            <w:shd w:val="clear" w:color="auto" w:fill="auto"/>
          </w:tcPr>
          <w:p w:rsidR="005514C7" w:rsidRPr="004D362D" w:rsidRDefault="005514C7" w:rsidP="00521048">
            <w:pPr>
              <w:autoSpaceDE w:val="0"/>
              <w:autoSpaceDN w:val="0"/>
              <w:adjustRightInd w:val="0"/>
              <w:jc w:val="center"/>
            </w:pPr>
            <w:r w:rsidRPr="004D362D">
              <w:t>Методические информационные материалы по вопросам совершенствования деятельности по противодействию коррупции и изменения антикоррупционного законодательства своевременно доводятся до сведения государственных гражданских служащих Комитета и работников подведомственного учреждения.</w:t>
            </w:r>
          </w:p>
        </w:tc>
      </w:tr>
    </w:tbl>
    <w:p w:rsidR="007613DD" w:rsidRDefault="007613DD" w:rsidP="007613DD">
      <w:pPr>
        <w:autoSpaceDE w:val="0"/>
        <w:autoSpaceDN w:val="0"/>
        <w:adjustRightInd w:val="0"/>
        <w:jc w:val="right"/>
        <w:rPr>
          <w:sz w:val="24"/>
          <w:szCs w:val="24"/>
        </w:rPr>
      </w:pPr>
    </w:p>
    <w:p w:rsidR="007613DD" w:rsidRDefault="007613DD" w:rsidP="007613DD">
      <w:pPr>
        <w:autoSpaceDE w:val="0"/>
        <w:autoSpaceDN w:val="0"/>
        <w:adjustRightInd w:val="0"/>
        <w:jc w:val="right"/>
        <w:rPr>
          <w:sz w:val="24"/>
          <w:szCs w:val="24"/>
        </w:rPr>
      </w:pPr>
    </w:p>
    <w:p w:rsidR="00BB4188" w:rsidRDefault="00BB4188" w:rsidP="00297062">
      <w:pPr>
        <w:pStyle w:val="ConsPlusNormal"/>
        <w:jc w:val="both"/>
        <w:rPr>
          <w:color w:val="C00000"/>
          <w:sz w:val="20"/>
          <w:szCs w:val="20"/>
        </w:rPr>
      </w:pPr>
    </w:p>
    <w:sectPr w:rsidR="00BB4188" w:rsidSect="008E2D6B">
      <w:pgSz w:w="16838" w:h="11906" w:orient="landscape" w:code="9"/>
      <w:pgMar w:top="426" w:right="709"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85" w:rsidRDefault="007F5285">
      <w:r>
        <w:separator/>
      </w:r>
    </w:p>
  </w:endnote>
  <w:endnote w:type="continuationSeparator" w:id="0">
    <w:p w:rsidR="007F5285" w:rsidRDefault="007F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85" w:rsidRDefault="007F5285">
      <w:r>
        <w:separator/>
      </w:r>
    </w:p>
  </w:footnote>
  <w:footnote w:type="continuationSeparator" w:id="0">
    <w:p w:rsidR="007F5285" w:rsidRDefault="007F5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1D44"/>
    <w:multiLevelType w:val="hybridMultilevel"/>
    <w:tmpl w:val="3B1AC3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627AD5"/>
    <w:multiLevelType w:val="singleLevel"/>
    <w:tmpl w:val="084A686E"/>
    <w:lvl w:ilvl="0">
      <w:start w:val="1"/>
      <w:numFmt w:val="decimal"/>
      <w:lvlText w:val="%1."/>
      <w:legacy w:legacy="1" w:legacySpace="0" w:legacyIndent="283"/>
      <w:lvlJc w:val="left"/>
      <w:pPr>
        <w:ind w:left="283" w:hanging="283"/>
      </w:pPr>
    </w:lvl>
  </w:abstractNum>
  <w:abstractNum w:abstractNumId="2" w15:restartNumberingAfterBreak="0">
    <w:nsid w:val="1B2502CD"/>
    <w:multiLevelType w:val="hybridMultilevel"/>
    <w:tmpl w:val="669E1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171DF"/>
    <w:multiLevelType w:val="hybridMultilevel"/>
    <w:tmpl w:val="73FE7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922C4"/>
    <w:multiLevelType w:val="hybridMultilevel"/>
    <w:tmpl w:val="0E66C8B8"/>
    <w:lvl w:ilvl="0" w:tplc="721C17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C117B25"/>
    <w:multiLevelType w:val="hybridMultilevel"/>
    <w:tmpl w:val="DCF2C196"/>
    <w:lvl w:ilvl="0" w:tplc="20E08C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0003E2D"/>
    <w:multiLevelType w:val="singleLevel"/>
    <w:tmpl w:val="0B448D3E"/>
    <w:lvl w:ilvl="0">
      <w:numFmt w:val="bullet"/>
      <w:lvlText w:val="-"/>
      <w:lvlJc w:val="left"/>
      <w:pPr>
        <w:tabs>
          <w:tab w:val="num" w:pos="360"/>
        </w:tabs>
        <w:ind w:left="360" w:hanging="360"/>
      </w:pPr>
      <w:rPr>
        <w:rFonts w:hint="default"/>
      </w:rPr>
    </w:lvl>
  </w:abstractNum>
  <w:abstractNum w:abstractNumId="7" w15:restartNumberingAfterBreak="0">
    <w:nsid w:val="72475721"/>
    <w:multiLevelType w:val="hybridMultilevel"/>
    <w:tmpl w:val="0AE42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E0D00"/>
    <w:multiLevelType w:val="hybridMultilevel"/>
    <w:tmpl w:val="7D20AB4C"/>
    <w:lvl w:ilvl="0" w:tplc="316698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7"/>
  </w:num>
  <w:num w:numId="2">
    <w:abstractNumId w:val="0"/>
  </w:num>
  <w:num w:numId="3">
    <w:abstractNumId w:val="5"/>
  </w:num>
  <w:num w:numId="4">
    <w:abstractNumId w:val="6"/>
  </w:num>
  <w:num w:numId="5">
    <w:abstractNumId w:val="3"/>
  </w:num>
  <w:num w:numId="6">
    <w:abstractNumId w:val="1"/>
  </w:num>
  <w:num w:numId="7">
    <w:abstractNumId w:val="1"/>
    <w:lvlOverride w:ilvl="0">
      <w:lvl w:ilvl="0">
        <w:start w:val="1"/>
        <w:numFmt w:val="decimal"/>
        <w:lvlText w:val="%1."/>
        <w:legacy w:legacy="1" w:legacySpace="0" w:legacyIndent="283"/>
        <w:lvlJc w:val="left"/>
        <w:pPr>
          <w:ind w:left="283" w:hanging="283"/>
        </w:pPr>
      </w:lvl>
    </w:lvlOverride>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67"/>
    <w:rsid w:val="000000C8"/>
    <w:rsid w:val="00005504"/>
    <w:rsid w:val="00005818"/>
    <w:rsid w:val="00006155"/>
    <w:rsid w:val="0002736B"/>
    <w:rsid w:val="00030732"/>
    <w:rsid w:val="00031987"/>
    <w:rsid w:val="00034AF5"/>
    <w:rsid w:val="00036FE0"/>
    <w:rsid w:val="00045A54"/>
    <w:rsid w:val="00052180"/>
    <w:rsid w:val="00060464"/>
    <w:rsid w:val="000705DF"/>
    <w:rsid w:val="00072C95"/>
    <w:rsid w:val="000764B4"/>
    <w:rsid w:val="00082093"/>
    <w:rsid w:val="0008262E"/>
    <w:rsid w:val="00083759"/>
    <w:rsid w:val="00084B2F"/>
    <w:rsid w:val="00084E31"/>
    <w:rsid w:val="00086040"/>
    <w:rsid w:val="000A3AC5"/>
    <w:rsid w:val="000A4AA4"/>
    <w:rsid w:val="000A6B94"/>
    <w:rsid w:val="000B0656"/>
    <w:rsid w:val="000B0697"/>
    <w:rsid w:val="000B3737"/>
    <w:rsid w:val="000C5B33"/>
    <w:rsid w:val="000E466C"/>
    <w:rsid w:val="000F2B88"/>
    <w:rsid w:val="000F7C76"/>
    <w:rsid w:val="00103FFD"/>
    <w:rsid w:val="00111E4E"/>
    <w:rsid w:val="00112CBF"/>
    <w:rsid w:val="0012278D"/>
    <w:rsid w:val="00130306"/>
    <w:rsid w:val="00131BF5"/>
    <w:rsid w:val="00135F74"/>
    <w:rsid w:val="001367AB"/>
    <w:rsid w:val="00140BA5"/>
    <w:rsid w:val="00143620"/>
    <w:rsid w:val="00144BDA"/>
    <w:rsid w:val="0014750A"/>
    <w:rsid w:val="001651DD"/>
    <w:rsid w:val="00166459"/>
    <w:rsid w:val="00172DAA"/>
    <w:rsid w:val="0018243F"/>
    <w:rsid w:val="00186197"/>
    <w:rsid w:val="001945AE"/>
    <w:rsid w:val="00194796"/>
    <w:rsid w:val="00195AB2"/>
    <w:rsid w:val="001A0C95"/>
    <w:rsid w:val="001A500E"/>
    <w:rsid w:val="001A527C"/>
    <w:rsid w:val="001A6606"/>
    <w:rsid w:val="001A7038"/>
    <w:rsid w:val="001B072B"/>
    <w:rsid w:val="001B0943"/>
    <w:rsid w:val="001B0FA5"/>
    <w:rsid w:val="001B4240"/>
    <w:rsid w:val="001B4B2B"/>
    <w:rsid w:val="001C2AC7"/>
    <w:rsid w:val="001C3322"/>
    <w:rsid w:val="001C44E6"/>
    <w:rsid w:val="001D10A6"/>
    <w:rsid w:val="001D6CE4"/>
    <w:rsid w:val="001F32A4"/>
    <w:rsid w:val="002005A3"/>
    <w:rsid w:val="00205492"/>
    <w:rsid w:val="002066E1"/>
    <w:rsid w:val="00212149"/>
    <w:rsid w:val="00213C5C"/>
    <w:rsid w:val="0021653F"/>
    <w:rsid w:val="00217B84"/>
    <w:rsid w:val="00220BE8"/>
    <w:rsid w:val="00227816"/>
    <w:rsid w:val="00231561"/>
    <w:rsid w:val="0023158C"/>
    <w:rsid w:val="00231CA4"/>
    <w:rsid w:val="00241405"/>
    <w:rsid w:val="00241BF2"/>
    <w:rsid w:val="00246699"/>
    <w:rsid w:val="00255BDE"/>
    <w:rsid w:val="00256241"/>
    <w:rsid w:val="00256403"/>
    <w:rsid w:val="0025673B"/>
    <w:rsid w:val="002573BD"/>
    <w:rsid w:val="002626C0"/>
    <w:rsid w:val="002629A2"/>
    <w:rsid w:val="0026359A"/>
    <w:rsid w:val="00266ABD"/>
    <w:rsid w:val="002705A7"/>
    <w:rsid w:val="002735D6"/>
    <w:rsid w:val="002809CF"/>
    <w:rsid w:val="002867B8"/>
    <w:rsid w:val="00286A9F"/>
    <w:rsid w:val="0029346D"/>
    <w:rsid w:val="00295BD3"/>
    <w:rsid w:val="00297062"/>
    <w:rsid w:val="002A3BAD"/>
    <w:rsid w:val="002B0B51"/>
    <w:rsid w:val="002B168E"/>
    <w:rsid w:val="002B17CD"/>
    <w:rsid w:val="002B18F4"/>
    <w:rsid w:val="002B7268"/>
    <w:rsid w:val="002C1F19"/>
    <w:rsid w:val="002C58F8"/>
    <w:rsid w:val="002C5B15"/>
    <w:rsid w:val="002C72B1"/>
    <w:rsid w:val="002D34E5"/>
    <w:rsid w:val="002D3767"/>
    <w:rsid w:val="002D3F94"/>
    <w:rsid w:val="002D65D9"/>
    <w:rsid w:val="002D7416"/>
    <w:rsid w:val="002E5358"/>
    <w:rsid w:val="002F24A4"/>
    <w:rsid w:val="003002E9"/>
    <w:rsid w:val="003018C8"/>
    <w:rsid w:val="003060EE"/>
    <w:rsid w:val="00310959"/>
    <w:rsid w:val="00311280"/>
    <w:rsid w:val="003130C5"/>
    <w:rsid w:val="003160AE"/>
    <w:rsid w:val="003208E4"/>
    <w:rsid w:val="0033078D"/>
    <w:rsid w:val="00337678"/>
    <w:rsid w:val="003418D8"/>
    <w:rsid w:val="00362253"/>
    <w:rsid w:val="00362786"/>
    <w:rsid w:val="0036576D"/>
    <w:rsid w:val="00371853"/>
    <w:rsid w:val="00371E9E"/>
    <w:rsid w:val="00374E4D"/>
    <w:rsid w:val="00375DC2"/>
    <w:rsid w:val="00385845"/>
    <w:rsid w:val="00393915"/>
    <w:rsid w:val="00393DB3"/>
    <w:rsid w:val="00396C13"/>
    <w:rsid w:val="003A293D"/>
    <w:rsid w:val="003A2C5A"/>
    <w:rsid w:val="003A45CE"/>
    <w:rsid w:val="003B0A04"/>
    <w:rsid w:val="003B521B"/>
    <w:rsid w:val="003C679B"/>
    <w:rsid w:val="003D0A88"/>
    <w:rsid w:val="003D6F1F"/>
    <w:rsid w:val="003D72A5"/>
    <w:rsid w:val="003D73E2"/>
    <w:rsid w:val="003E56B4"/>
    <w:rsid w:val="003E7608"/>
    <w:rsid w:val="003F67AB"/>
    <w:rsid w:val="003F79F7"/>
    <w:rsid w:val="00400A57"/>
    <w:rsid w:val="004144B8"/>
    <w:rsid w:val="00417AF7"/>
    <w:rsid w:val="00417D33"/>
    <w:rsid w:val="00424B7D"/>
    <w:rsid w:val="00427984"/>
    <w:rsid w:val="004336BA"/>
    <w:rsid w:val="00443E6F"/>
    <w:rsid w:val="00444B9C"/>
    <w:rsid w:val="00445DF4"/>
    <w:rsid w:val="0044719A"/>
    <w:rsid w:val="00447E92"/>
    <w:rsid w:val="00451CBA"/>
    <w:rsid w:val="0045251F"/>
    <w:rsid w:val="0045764A"/>
    <w:rsid w:val="004602BA"/>
    <w:rsid w:val="00467284"/>
    <w:rsid w:val="00471375"/>
    <w:rsid w:val="00474AEA"/>
    <w:rsid w:val="0048081A"/>
    <w:rsid w:val="00482EF7"/>
    <w:rsid w:val="00483B0E"/>
    <w:rsid w:val="00485148"/>
    <w:rsid w:val="004924BD"/>
    <w:rsid w:val="004A5C75"/>
    <w:rsid w:val="004A5F3B"/>
    <w:rsid w:val="004A7237"/>
    <w:rsid w:val="004A7CA0"/>
    <w:rsid w:val="004B636D"/>
    <w:rsid w:val="004C1106"/>
    <w:rsid w:val="004C6594"/>
    <w:rsid w:val="004C7075"/>
    <w:rsid w:val="004C7FC1"/>
    <w:rsid w:val="004D362D"/>
    <w:rsid w:val="004D7680"/>
    <w:rsid w:val="004E6D92"/>
    <w:rsid w:val="004F1060"/>
    <w:rsid w:val="00500C5F"/>
    <w:rsid w:val="005101A3"/>
    <w:rsid w:val="005116F1"/>
    <w:rsid w:val="00511AB5"/>
    <w:rsid w:val="00512847"/>
    <w:rsid w:val="00521048"/>
    <w:rsid w:val="00540CC3"/>
    <w:rsid w:val="00541218"/>
    <w:rsid w:val="00541585"/>
    <w:rsid w:val="00541FC2"/>
    <w:rsid w:val="00543A81"/>
    <w:rsid w:val="00547A6E"/>
    <w:rsid w:val="005514C7"/>
    <w:rsid w:val="00552AC3"/>
    <w:rsid w:val="00557B96"/>
    <w:rsid w:val="00560DEE"/>
    <w:rsid w:val="00561077"/>
    <w:rsid w:val="00567DEF"/>
    <w:rsid w:val="0057305F"/>
    <w:rsid w:val="005733B7"/>
    <w:rsid w:val="0057417B"/>
    <w:rsid w:val="005804B2"/>
    <w:rsid w:val="00582EA2"/>
    <w:rsid w:val="0058318F"/>
    <w:rsid w:val="00587DB1"/>
    <w:rsid w:val="00590A29"/>
    <w:rsid w:val="00592792"/>
    <w:rsid w:val="00593ADE"/>
    <w:rsid w:val="005A02E5"/>
    <w:rsid w:val="005A7B6C"/>
    <w:rsid w:val="005B3B77"/>
    <w:rsid w:val="005B58C0"/>
    <w:rsid w:val="005B640A"/>
    <w:rsid w:val="005C42D4"/>
    <w:rsid w:val="005C56C2"/>
    <w:rsid w:val="005D144E"/>
    <w:rsid w:val="005D67F6"/>
    <w:rsid w:val="005D7A30"/>
    <w:rsid w:val="005E17AB"/>
    <w:rsid w:val="005E3C50"/>
    <w:rsid w:val="005E4BA4"/>
    <w:rsid w:val="005F0F35"/>
    <w:rsid w:val="00605F74"/>
    <w:rsid w:val="006119A3"/>
    <w:rsid w:val="00620D70"/>
    <w:rsid w:val="00622A93"/>
    <w:rsid w:val="00625642"/>
    <w:rsid w:val="00625C54"/>
    <w:rsid w:val="00647B19"/>
    <w:rsid w:val="00650628"/>
    <w:rsid w:val="00660FE1"/>
    <w:rsid w:val="006635C2"/>
    <w:rsid w:val="00672D9A"/>
    <w:rsid w:val="00680E0A"/>
    <w:rsid w:val="006818A6"/>
    <w:rsid w:val="006823AE"/>
    <w:rsid w:val="00683D8D"/>
    <w:rsid w:val="00687E8A"/>
    <w:rsid w:val="006918EC"/>
    <w:rsid w:val="00695BAF"/>
    <w:rsid w:val="006A16BF"/>
    <w:rsid w:val="006A35A3"/>
    <w:rsid w:val="006A4401"/>
    <w:rsid w:val="006A6AF0"/>
    <w:rsid w:val="006A735E"/>
    <w:rsid w:val="006B7C05"/>
    <w:rsid w:val="006C39FA"/>
    <w:rsid w:val="006D19EB"/>
    <w:rsid w:val="006D474A"/>
    <w:rsid w:val="006D6B18"/>
    <w:rsid w:val="006D701A"/>
    <w:rsid w:val="006E03DB"/>
    <w:rsid w:val="006E0717"/>
    <w:rsid w:val="006E0918"/>
    <w:rsid w:val="006E2826"/>
    <w:rsid w:val="006F28CB"/>
    <w:rsid w:val="006F373B"/>
    <w:rsid w:val="006F7232"/>
    <w:rsid w:val="00701E55"/>
    <w:rsid w:val="00702B14"/>
    <w:rsid w:val="00704413"/>
    <w:rsid w:val="00705368"/>
    <w:rsid w:val="007119F6"/>
    <w:rsid w:val="0071416B"/>
    <w:rsid w:val="00716209"/>
    <w:rsid w:val="0072135D"/>
    <w:rsid w:val="0072509F"/>
    <w:rsid w:val="00725376"/>
    <w:rsid w:val="00726512"/>
    <w:rsid w:val="0073162C"/>
    <w:rsid w:val="0073243E"/>
    <w:rsid w:val="007347DA"/>
    <w:rsid w:val="007358BA"/>
    <w:rsid w:val="00751A92"/>
    <w:rsid w:val="00753467"/>
    <w:rsid w:val="0075574B"/>
    <w:rsid w:val="0075590B"/>
    <w:rsid w:val="007602F1"/>
    <w:rsid w:val="007613DD"/>
    <w:rsid w:val="00762DC6"/>
    <w:rsid w:val="007635B4"/>
    <w:rsid w:val="007650F1"/>
    <w:rsid w:val="007665C6"/>
    <w:rsid w:val="00776B5D"/>
    <w:rsid w:val="00776CB0"/>
    <w:rsid w:val="00781745"/>
    <w:rsid w:val="00793D44"/>
    <w:rsid w:val="00796FAE"/>
    <w:rsid w:val="00797D1C"/>
    <w:rsid w:val="007A3BDC"/>
    <w:rsid w:val="007A5206"/>
    <w:rsid w:val="007B670C"/>
    <w:rsid w:val="007C65A0"/>
    <w:rsid w:val="007D00A1"/>
    <w:rsid w:val="007D1040"/>
    <w:rsid w:val="007D2EDF"/>
    <w:rsid w:val="007D5123"/>
    <w:rsid w:val="007E000E"/>
    <w:rsid w:val="007E29AE"/>
    <w:rsid w:val="007E2E7F"/>
    <w:rsid w:val="007E30F1"/>
    <w:rsid w:val="007E3E00"/>
    <w:rsid w:val="007E4A02"/>
    <w:rsid w:val="007F2CB6"/>
    <w:rsid w:val="007F5285"/>
    <w:rsid w:val="007F5B26"/>
    <w:rsid w:val="008044BA"/>
    <w:rsid w:val="00806458"/>
    <w:rsid w:val="008224F5"/>
    <w:rsid w:val="008331F1"/>
    <w:rsid w:val="008354C0"/>
    <w:rsid w:val="008372A0"/>
    <w:rsid w:val="0084268F"/>
    <w:rsid w:val="00846EC6"/>
    <w:rsid w:val="00853681"/>
    <w:rsid w:val="00855E0D"/>
    <w:rsid w:val="00863F00"/>
    <w:rsid w:val="00864EE1"/>
    <w:rsid w:val="00866647"/>
    <w:rsid w:val="00871BDE"/>
    <w:rsid w:val="008742F4"/>
    <w:rsid w:val="00874F44"/>
    <w:rsid w:val="0087661D"/>
    <w:rsid w:val="0088066A"/>
    <w:rsid w:val="00880A23"/>
    <w:rsid w:val="00882C7D"/>
    <w:rsid w:val="00883F2F"/>
    <w:rsid w:val="00892A7D"/>
    <w:rsid w:val="0089451A"/>
    <w:rsid w:val="008946BF"/>
    <w:rsid w:val="008A6A9B"/>
    <w:rsid w:val="008B3A2A"/>
    <w:rsid w:val="008C1625"/>
    <w:rsid w:val="008C177A"/>
    <w:rsid w:val="008C3637"/>
    <w:rsid w:val="008C5B25"/>
    <w:rsid w:val="008D6555"/>
    <w:rsid w:val="008D7C24"/>
    <w:rsid w:val="008E2515"/>
    <w:rsid w:val="008E2D6B"/>
    <w:rsid w:val="008E434C"/>
    <w:rsid w:val="008E70CA"/>
    <w:rsid w:val="008F0E44"/>
    <w:rsid w:val="008F28F9"/>
    <w:rsid w:val="008F2D51"/>
    <w:rsid w:val="008F3E60"/>
    <w:rsid w:val="00900A54"/>
    <w:rsid w:val="00902766"/>
    <w:rsid w:val="009028E3"/>
    <w:rsid w:val="00904EFA"/>
    <w:rsid w:val="00905418"/>
    <w:rsid w:val="0092068C"/>
    <w:rsid w:val="00924849"/>
    <w:rsid w:val="00926D51"/>
    <w:rsid w:val="00930B95"/>
    <w:rsid w:val="00931DFA"/>
    <w:rsid w:val="0094034D"/>
    <w:rsid w:val="009405EF"/>
    <w:rsid w:val="00945D31"/>
    <w:rsid w:val="00946079"/>
    <w:rsid w:val="00946408"/>
    <w:rsid w:val="00946BD5"/>
    <w:rsid w:val="00947C92"/>
    <w:rsid w:val="009505C7"/>
    <w:rsid w:val="0095133D"/>
    <w:rsid w:val="009525E6"/>
    <w:rsid w:val="00956435"/>
    <w:rsid w:val="0095777D"/>
    <w:rsid w:val="0095780B"/>
    <w:rsid w:val="00961726"/>
    <w:rsid w:val="00962199"/>
    <w:rsid w:val="009642D2"/>
    <w:rsid w:val="00965057"/>
    <w:rsid w:val="00966777"/>
    <w:rsid w:val="00967444"/>
    <w:rsid w:val="00971381"/>
    <w:rsid w:val="0097146A"/>
    <w:rsid w:val="00974359"/>
    <w:rsid w:val="009745D6"/>
    <w:rsid w:val="00974D49"/>
    <w:rsid w:val="0097621A"/>
    <w:rsid w:val="009765A9"/>
    <w:rsid w:val="00977290"/>
    <w:rsid w:val="00977346"/>
    <w:rsid w:val="00977464"/>
    <w:rsid w:val="0097746A"/>
    <w:rsid w:val="009805C5"/>
    <w:rsid w:val="00983BC7"/>
    <w:rsid w:val="009858DD"/>
    <w:rsid w:val="0099084A"/>
    <w:rsid w:val="00992FCF"/>
    <w:rsid w:val="00993342"/>
    <w:rsid w:val="00996A1E"/>
    <w:rsid w:val="009A0DF5"/>
    <w:rsid w:val="009A1398"/>
    <w:rsid w:val="009A1A45"/>
    <w:rsid w:val="009A3BAE"/>
    <w:rsid w:val="009A78AA"/>
    <w:rsid w:val="009B3250"/>
    <w:rsid w:val="009B75A2"/>
    <w:rsid w:val="009C09D1"/>
    <w:rsid w:val="009C153B"/>
    <w:rsid w:val="009C4883"/>
    <w:rsid w:val="009C4E27"/>
    <w:rsid w:val="009C6E2B"/>
    <w:rsid w:val="009D4AC6"/>
    <w:rsid w:val="009D6A06"/>
    <w:rsid w:val="009E60AF"/>
    <w:rsid w:val="00A01ECD"/>
    <w:rsid w:val="00A04DF6"/>
    <w:rsid w:val="00A06F41"/>
    <w:rsid w:val="00A11B7B"/>
    <w:rsid w:val="00A15CD5"/>
    <w:rsid w:val="00A2047C"/>
    <w:rsid w:val="00A23473"/>
    <w:rsid w:val="00A23EE8"/>
    <w:rsid w:val="00A307F0"/>
    <w:rsid w:val="00A33BDB"/>
    <w:rsid w:val="00A4358E"/>
    <w:rsid w:val="00A46FCC"/>
    <w:rsid w:val="00A51034"/>
    <w:rsid w:val="00A51BBD"/>
    <w:rsid w:val="00A5286C"/>
    <w:rsid w:val="00A53AE5"/>
    <w:rsid w:val="00A5425B"/>
    <w:rsid w:val="00A54A01"/>
    <w:rsid w:val="00A56B18"/>
    <w:rsid w:val="00A67955"/>
    <w:rsid w:val="00A70CB3"/>
    <w:rsid w:val="00A768E8"/>
    <w:rsid w:val="00A81F9F"/>
    <w:rsid w:val="00A82E8B"/>
    <w:rsid w:val="00A87668"/>
    <w:rsid w:val="00AA057E"/>
    <w:rsid w:val="00AB4EBA"/>
    <w:rsid w:val="00AB6077"/>
    <w:rsid w:val="00AC2DD5"/>
    <w:rsid w:val="00AC462A"/>
    <w:rsid w:val="00AC5323"/>
    <w:rsid w:val="00AD3507"/>
    <w:rsid w:val="00AD4F54"/>
    <w:rsid w:val="00AD61A7"/>
    <w:rsid w:val="00AD6C00"/>
    <w:rsid w:val="00AD6F63"/>
    <w:rsid w:val="00AD7E28"/>
    <w:rsid w:val="00AE3E35"/>
    <w:rsid w:val="00AE69D2"/>
    <w:rsid w:val="00AF3CE8"/>
    <w:rsid w:val="00AF3EE1"/>
    <w:rsid w:val="00B03100"/>
    <w:rsid w:val="00B03787"/>
    <w:rsid w:val="00B04EAD"/>
    <w:rsid w:val="00B059E2"/>
    <w:rsid w:val="00B05A62"/>
    <w:rsid w:val="00B107DE"/>
    <w:rsid w:val="00B1312B"/>
    <w:rsid w:val="00B14CB3"/>
    <w:rsid w:val="00B14F00"/>
    <w:rsid w:val="00B150BD"/>
    <w:rsid w:val="00B20FA4"/>
    <w:rsid w:val="00B23D79"/>
    <w:rsid w:val="00B24474"/>
    <w:rsid w:val="00B245A8"/>
    <w:rsid w:val="00B27038"/>
    <w:rsid w:val="00B270D6"/>
    <w:rsid w:val="00B305F1"/>
    <w:rsid w:val="00B438A4"/>
    <w:rsid w:val="00B47BC0"/>
    <w:rsid w:val="00B512D1"/>
    <w:rsid w:val="00B53218"/>
    <w:rsid w:val="00B622C5"/>
    <w:rsid w:val="00B6615F"/>
    <w:rsid w:val="00B669E5"/>
    <w:rsid w:val="00B7112E"/>
    <w:rsid w:val="00B71353"/>
    <w:rsid w:val="00B71CE4"/>
    <w:rsid w:val="00B82705"/>
    <w:rsid w:val="00B82A1E"/>
    <w:rsid w:val="00B840D9"/>
    <w:rsid w:val="00B84D8D"/>
    <w:rsid w:val="00BA0240"/>
    <w:rsid w:val="00BA505D"/>
    <w:rsid w:val="00BB27F2"/>
    <w:rsid w:val="00BB393E"/>
    <w:rsid w:val="00BB4188"/>
    <w:rsid w:val="00BB456E"/>
    <w:rsid w:val="00BB66DD"/>
    <w:rsid w:val="00BC419D"/>
    <w:rsid w:val="00BC57CE"/>
    <w:rsid w:val="00BC672D"/>
    <w:rsid w:val="00BC686F"/>
    <w:rsid w:val="00BC6FBA"/>
    <w:rsid w:val="00BE073B"/>
    <w:rsid w:val="00BE1309"/>
    <w:rsid w:val="00BF488D"/>
    <w:rsid w:val="00BF4E1A"/>
    <w:rsid w:val="00BF5D04"/>
    <w:rsid w:val="00C02372"/>
    <w:rsid w:val="00C0796A"/>
    <w:rsid w:val="00C07B2E"/>
    <w:rsid w:val="00C24704"/>
    <w:rsid w:val="00C259E8"/>
    <w:rsid w:val="00C31BDF"/>
    <w:rsid w:val="00C34891"/>
    <w:rsid w:val="00C34CB7"/>
    <w:rsid w:val="00C35717"/>
    <w:rsid w:val="00C41BEF"/>
    <w:rsid w:val="00C41F98"/>
    <w:rsid w:val="00C443A4"/>
    <w:rsid w:val="00C45FF7"/>
    <w:rsid w:val="00C50638"/>
    <w:rsid w:val="00C51D2B"/>
    <w:rsid w:val="00C56C93"/>
    <w:rsid w:val="00C62B5A"/>
    <w:rsid w:val="00C660B9"/>
    <w:rsid w:val="00C6645B"/>
    <w:rsid w:val="00C66F62"/>
    <w:rsid w:val="00C75B29"/>
    <w:rsid w:val="00C80148"/>
    <w:rsid w:val="00C8148F"/>
    <w:rsid w:val="00C816DE"/>
    <w:rsid w:val="00C93B92"/>
    <w:rsid w:val="00C97708"/>
    <w:rsid w:val="00CA23A9"/>
    <w:rsid w:val="00CA503A"/>
    <w:rsid w:val="00CA7359"/>
    <w:rsid w:val="00CB1066"/>
    <w:rsid w:val="00CB6736"/>
    <w:rsid w:val="00CC06A5"/>
    <w:rsid w:val="00CC6CA2"/>
    <w:rsid w:val="00CD0335"/>
    <w:rsid w:val="00CD2094"/>
    <w:rsid w:val="00CD2BF8"/>
    <w:rsid w:val="00CD42F4"/>
    <w:rsid w:val="00CE2551"/>
    <w:rsid w:val="00CE28D9"/>
    <w:rsid w:val="00CF686E"/>
    <w:rsid w:val="00CF6E01"/>
    <w:rsid w:val="00D02867"/>
    <w:rsid w:val="00D04694"/>
    <w:rsid w:val="00D06378"/>
    <w:rsid w:val="00D16C05"/>
    <w:rsid w:val="00D235AD"/>
    <w:rsid w:val="00D322A2"/>
    <w:rsid w:val="00D34A31"/>
    <w:rsid w:val="00D40128"/>
    <w:rsid w:val="00D412FB"/>
    <w:rsid w:val="00D50617"/>
    <w:rsid w:val="00D50F66"/>
    <w:rsid w:val="00D52E06"/>
    <w:rsid w:val="00D5416F"/>
    <w:rsid w:val="00D60139"/>
    <w:rsid w:val="00D62644"/>
    <w:rsid w:val="00D63997"/>
    <w:rsid w:val="00D654C7"/>
    <w:rsid w:val="00D76698"/>
    <w:rsid w:val="00D8514F"/>
    <w:rsid w:val="00D86203"/>
    <w:rsid w:val="00D87F5A"/>
    <w:rsid w:val="00D906A6"/>
    <w:rsid w:val="00D94FD1"/>
    <w:rsid w:val="00DA5381"/>
    <w:rsid w:val="00DA7154"/>
    <w:rsid w:val="00DB07C3"/>
    <w:rsid w:val="00DB1401"/>
    <w:rsid w:val="00DB4A23"/>
    <w:rsid w:val="00DB4D3F"/>
    <w:rsid w:val="00DC08FD"/>
    <w:rsid w:val="00DC1CFB"/>
    <w:rsid w:val="00DC3671"/>
    <w:rsid w:val="00DE1E0A"/>
    <w:rsid w:val="00DE5967"/>
    <w:rsid w:val="00DE7BC6"/>
    <w:rsid w:val="00DF0C81"/>
    <w:rsid w:val="00DF19DE"/>
    <w:rsid w:val="00DF38D5"/>
    <w:rsid w:val="00E0118A"/>
    <w:rsid w:val="00E033E9"/>
    <w:rsid w:val="00E13533"/>
    <w:rsid w:val="00E163EB"/>
    <w:rsid w:val="00E1736E"/>
    <w:rsid w:val="00E20752"/>
    <w:rsid w:val="00E23CFD"/>
    <w:rsid w:val="00E249C4"/>
    <w:rsid w:val="00E25B27"/>
    <w:rsid w:val="00E3286A"/>
    <w:rsid w:val="00E36885"/>
    <w:rsid w:val="00E369F0"/>
    <w:rsid w:val="00E37E0A"/>
    <w:rsid w:val="00E40931"/>
    <w:rsid w:val="00E42501"/>
    <w:rsid w:val="00E4479F"/>
    <w:rsid w:val="00E52F9F"/>
    <w:rsid w:val="00E56468"/>
    <w:rsid w:val="00E57446"/>
    <w:rsid w:val="00E629A0"/>
    <w:rsid w:val="00E65FEA"/>
    <w:rsid w:val="00E6710B"/>
    <w:rsid w:val="00E6772C"/>
    <w:rsid w:val="00E75802"/>
    <w:rsid w:val="00E75C92"/>
    <w:rsid w:val="00E80118"/>
    <w:rsid w:val="00E84D6D"/>
    <w:rsid w:val="00E85AF7"/>
    <w:rsid w:val="00EA0D3F"/>
    <w:rsid w:val="00EA37E7"/>
    <w:rsid w:val="00EA6C02"/>
    <w:rsid w:val="00EB2536"/>
    <w:rsid w:val="00EB26ED"/>
    <w:rsid w:val="00EB3A3B"/>
    <w:rsid w:val="00EC17DB"/>
    <w:rsid w:val="00EC4094"/>
    <w:rsid w:val="00EC73B0"/>
    <w:rsid w:val="00ED341A"/>
    <w:rsid w:val="00EE11D9"/>
    <w:rsid w:val="00EE48BA"/>
    <w:rsid w:val="00EE5FC0"/>
    <w:rsid w:val="00EE7188"/>
    <w:rsid w:val="00EF11F9"/>
    <w:rsid w:val="00EF17BE"/>
    <w:rsid w:val="00EF268C"/>
    <w:rsid w:val="00EF39A8"/>
    <w:rsid w:val="00EF4E41"/>
    <w:rsid w:val="00EF76DB"/>
    <w:rsid w:val="00F00A56"/>
    <w:rsid w:val="00F00C99"/>
    <w:rsid w:val="00F01824"/>
    <w:rsid w:val="00F03EEB"/>
    <w:rsid w:val="00F070B2"/>
    <w:rsid w:val="00F11C22"/>
    <w:rsid w:val="00F127B9"/>
    <w:rsid w:val="00F2439E"/>
    <w:rsid w:val="00F24DB7"/>
    <w:rsid w:val="00F278D9"/>
    <w:rsid w:val="00F32E79"/>
    <w:rsid w:val="00F35471"/>
    <w:rsid w:val="00F35530"/>
    <w:rsid w:val="00F40703"/>
    <w:rsid w:val="00F50716"/>
    <w:rsid w:val="00F50C5D"/>
    <w:rsid w:val="00F5190A"/>
    <w:rsid w:val="00F60349"/>
    <w:rsid w:val="00F61F07"/>
    <w:rsid w:val="00F649B2"/>
    <w:rsid w:val="00F66F9A"/>
    <w:rsid w:val="00F67852"/>
    <w:rsid w:val="00F71D42"/>
    <w:rsid w:val="00F71E41"/>
    <w:rsid w:val="00F9079D"/>
    <w:rsid w:val="00F9186C"/>
    <w:rsid w:val="00F9454C"/>
    <w:rsid w:val="00FA4B55"/>
    <w:rsid w:val="00FA79E9"/>
    <w:rsid w:val="00FA7C81"/>
    <w:rsid w:val="00FB334D"/>
    <w:rsid w:val="00FB34F0"/>
    <w:rsid w:val="00FB73F4"/>
    <w:rsid w:val="00FC13E6"/>
    <w:rsid w:val="00FC44DA"/>
    <w:rsid w:val="00FC5C10"/>
    <w:rsid w:val="00FD28F8"/>
    <w:rsid w:val="00FD434C"/>
    <w:rsid w:val="00FD46B5"/>
    <w:rsid w:val="00FD57C4"/>
    <w:rsid w:val="00FD6F7C"/>
    <w:rsid w:val="00FD7FB3"/>
    <w:rsid w:val="00FE0342"/>
    <w:rsid w:val="00FE2EA5"/>
    <w:rsid w:val="00FE387F"/>
    <w:rsid w:val="00FF0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D81C99-80B8-4F54-BBDB-5D9A7189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4C"/>
  </w:style>
  <w:style w:type="paragraph" w:styleId="1">
    <w:name w:val="heading 1"/>
    <w:basedOn w:val="a"/>
    <w:next w:val="a"/>
    <w:link w:val="10"/>
    <w:qFormat/>
    <w:rsid w:val="009C48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76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765A9"/>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qFormat/>
    <w:rsid w:val="008E434C"/>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434C"/>
    <w:pPr>
      <w:tabs>
        <w:tab w:val="center" w:pos="4536"/>
        <w:tab w:val="right" w:pos="9072"/>
      </w:tabs>
    </w:pPr>
  </w:style>
  <w:style w:type="paragraph" w:styleId="a4">
    <w:name w:val="footer"/>
    <w:basedOn w:val="a"/>
    <w:rsid w:val="008E434C"/>
    <w:pPr>
      <w:tabs>
        <w:tab w:val="center" w:pos="4536"/>
        <w:tab w:val="right" w:pos="9072"/>
      </w:tabs>
    </w:pPr>
  </w:style>
  <w:style w:type="paragraph" w:customStyle="1" w:styleId="Noeeu1">
    <w:name w:val="Noeeu1"/>
    <w:basedOn w:val="a"/>
    <w:rsid w:val="008E434C"/>
    <w:pPr>
      <w:spacing w:line="288" w:lineRule="auto"/>
    </w:pPr>
    <w:rPr>
      <w:sz w:val="28"/>
    </w:rPr>
  </w:style>
  <w:style w:type="paragraph" w:styleId="a5">
    <w:name w:val="Body Text Indent"/>
    <w:basedOn w:val="a"/>
    <w:rsid w:val="008E434C"/>
    <w:pPr>
      <w:spacing w:line="300" w:lineRule="exact"/>
      <w:ind w:firstLine="851"/>
      <w:jc w:val="both"/>
    </w:pPr>
    <w:rPr>
      <w:sz w:val="28"/>
    </w:rPr>
  </w:style>
  <w:style w:type="paragraph" w:styleId="a6">
    <w:name w:val="Balloon Text"/>
    <w:basedOn w:val="a"/>
    <w:semiHidden/>
    <w:rsid w:val="0097621A"/>
    <w:rPr>
      <w:rFonts w:ascii="Tahoma" w:hAnsi="Tahoma" w:cs="Tahoma"/>
      <w:sz w:val="16"/>
      <w:szCs w:val="16"/>
    </w:rPr>
  </w:style>
  <w:style w:type="table" w:styleId="a7">
    <w:name w:val="Table Grid"/>
    <w:basedOn w:val="a1"/>
    <w:uiPriority w:val="39"/>
    <w:rsid w:val="00AD35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0B3737"/>
    <w:pPr>
      <w:ind w:left="720"/>
      <w:contextualSpacing/>
    </w:pPr>
  </w:style>
  <w:style w:type="character" w:customStyle="1" w:styleId="10">
    <w:name w:val="Заголовок 1 Знак"/>
    <w:basedOn w:val="a0"/>
    <w:link w:val="1"/>
    <w:rsid w:val="009C4883"/>
    <w:rPr>
      <w:rFonts w:asciiTheme="majorHAnsi" w:eastAsiaTheme="majorEastAsia" w:hAnsiTheme="majorHAnsi" w:cstheme="majorBidi"/>
      <w:b/>
      <w:bCs/>
      <w:color w:val="365F91" w:themeColor="accent1" w:themeShade="BF"/>
      <w:sz w:val="28"/>
      <w:szCs w:val="28"/>
    </w:rPr>
  </w:style>
  <w:style w:type="character" w:customStyle="1" w:styleId="a9">
    <w:name w:val="Гипертекстовая ссылка"/>
    <w:basedOn w:val="a0"/>
    <w:uiPriority w:val="99"/>
    <w:rsid w:val="009C4883"/>
    <w:rPr>
      <w:color w:val="106BBE"/>
    </w:rPr>
  </w:style>
  <w:style w:type="paragraph" w:customStyle="1" w:styleId="aa">
    <w:name w:val="Нормальный (таблица)"/>
    <w:basedOn w:val="a"/>
    <w:next w:val="a"/>
    <w:uiPriority w:val="99"/>
    <w:rsid w:val="009C4883"/>
    <w:pPr>
      <w:widowControl w:val="0"/>
      <w:autoSpaceDE w:val="0"/>
      <w:autoSpaceDN w:val="0"/>
      <w:adjustRightInd w:val="0"/>
      <w:jc w:val="both"/>
    </w:pPr>
    <w:rPr>
      <w:rFonts w:ascii="Arial" w:eastAsiaTheme="minorEastAsia" w:hAnsi="Arial" w:cs="Arial"/>
      <w:sz w:val="24"/>
      <w:szCs w:val="24"/>
    </w:rPr>
  </w:style>
  <w:style w:type="paragraph" w:customStyle="1" w:styleId="ab">
    <w:name w:val="Прижатый влево"/>
    <w:basedOn w:val="a"/>
    <w:next w:val="a"/>
    <w:uiPriority w:val="99"/>
    <w:rsid w:val="009C4883"/>
    <w:pPr>
      <w:widowControl w:val="0"/>
      <w:autoSpaceDE w:val="0"/>
      <w:autoSpaceDN w:val="0"/>
      <w:adjustRightInd w:val="0"/>
    </w:pPr>
    <w:rPr>
      <w:rFonts w:ascii="Arial" w:eastAsiaTheme="minorEastAsia" w:hAnsi="Arial" w:cs="Arial"/>
      <w:sz w:val="24"/>
      <w:szCs w:val="24"/>
    </w:rPr>
  </w:style>
  <w:style w:type="character" w:customStyle="1" w:styleId="ac">
    <w:name w:val="Цветовое выделение"/>
    <w:uiPriority w:val="99"/>
    <w:rsid w:val="00B05A62"/>
    <w:rPr>
      <w:b/>
      <w:color w:val="26282F"/>
      <w:sz w:val="26"/>
    </w:rPr>
  </w:style>
  <w:style w:type="paragraph" w:customStyle="1" w:styleId="ad">
    <w:name w:val="Таблицы (моноширинный)"/>
    <w:basedOn w:val="a"/>
    <w:next w:val="a"/>
    <w:uiPriority w:val="99"/>
    <w:rsid w:val="00B05A62"/>
    <w:pPr>
      <w:widowControl w:val="0"/>
      <w:autoSpaceDE w:val="0"/>
      <w:autoSpaceDN w:val="0"/>
      <w:adjustRightInd w:val="0"/>
      <w:jc w:val="both"/>
    </w:pPr>
    <w:rPr>
      <w:rFonts w:ascii="Courier New" w:eastAsiaTheme="minorEastAsia" w:hAnsi="Courier New" w:cs="Courier New"/>
      <w:sz w:val="22"/>
      <w:szCs w:val="22"/>
    </w:rPr>
  </w:style>
  <w:style w:type="paragraph" w:customStyle="1" w:styleId="ConsPlusNormal">
    <w:name w:val="ConsPlusNormal"/>
    <w:rsid w:val="000A3AC5"/>
    <w:pPr>
      <w:widowControl w:val="0"/>
      <w:autoSpaceDE w:val="0"/>
      <w:autoSpaceDN w:val="0"/>
      <w:adjustRightInd w:val="0"/>
    </w:pPr>
    <w:rPr>
      <w:rFonts w:eastAsiaTheme="minorEastAsia"/>
      <w:sz w:val="24"/>
      <w:szCs w:val="24"/>
    </w:rPr>
  </w:style>
  <w:style w:type="paragraph" w:customStyle="1" w:styleId="ConsPlusTitle">
    <w:name w:val="ConsPlusTitle"/>
    <w:rsid w:val="000A3AC5"/>
    <w:pPr>
      <w:widowControl w:val="0"/>
      <w:autoSpaceDE w:val="0"/>
      <w:autoSpaceDN w:val="0"/>
      <w:adjustRightInd w:val="0"/>
    </w:pPr>
    <w:rPr>
      <w:rFonts w:ascii="Arial" w:eastAsiaTheme="minorEastAsia" w:hAnsi="Arial" w:cs="Arial"/>
      <w:b/>
      <w:bCs/>
      <w:sz w:val="24"/>
      <w:szCs w:val="24"/>
    </w:rPr>
  </w:style>
  <w:style w:type="character" w:customStyle="1" w:styleId="20">
    <w:name w:val="Заголовок 2 Знак"/>
    <w:basedOn w:val="a0"/>
    <w:link w:val="2"/>
    <w:semiHidden/>
    <w:rsid w:val="009765A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9765A9"/>
    <w:rPr>
      <w:rFonts w:asciiTheme="majorHAnsi" w:eastAsiaTheme="majorEastAsia" w:hAnsiTheme="majorHAnsi" w:cstheme="majorBidi"/>
      <w:b/>
      <w:bCs/>
      <w:color w:val="4F81BD" w:themeColor="accent1"/>
    </w:rPr>
  </w:style>
  <w:style w:type="paragraph" w:styleId="ae">
    <w:name w:val="Normal (Web)"/>
    <w:basedOn w:val="a"/>
    <w:uiPriority w:val="99"/>
    <w:unhideWhenUsed/>
    <w:rsid w:val="009765A9"/>
    <w:pPr>
      <w:spacing w:before="100" w:beforeAutospacing="1" w:after="100" w:afterAutospacing="1"/>
    </w:pPr>
    <w:rPr>
      <w:sz w:val="24"/>
      <w:szCs w:val="24"/>
    </w:rPr>
  </w:style>
  <w:style w:type="character" w:styleId="af">
    <w:name w:val="Hyperlink"/>
    <w:basedOn w:val="a0"/>
    <w:uiPriority w:val="99"/>
    <w:unhideWhenUsed/>
    <w:rsid w:val="009765A9"/>
    <w:rPr>
      <w:color w:val="0000FF"/>
      <w:u w:val="single"/>
    </w:rPr>
  </w:style>
  <w:style w:type="paragraph" w:customStyle="1" w:styleId="ConsPlusNonformat">
    <w:name w:val="ConsPlusNonformat"/>
    <w:rsid w:val="000A6B94"/>
    <w:pPr>
      <w:widowControl w:val="0"/>
      <w:autoSpaceDE w:val="0"/>
      <w:autoSpaceDN w:val="0"/>
    </w:pPr>
    <w:rPr>
      <w:rFonts w:ascii="Courier New" w:hAnsi="Courier New" w:cs="Courier New"/>
    </w:rPr>
  </w:style>
  <w:style w:type="paragraph" w:customStyle="1" w:styleId="1CStyle44">
    <w:name w:val="1CStyle44"/>
    <w:qFormat/>
    <w:rsid w:val="00726512"/>
    <w:pPr>
      <w:jc w:val="center"/>
    </w:pPr>
    <w:rPr>
      <w:rFonts w:eastAsiaTheme="minorEastAsia" w:cstheme="minorBidi"/>
      <w:sz w:val="24"/>
      <w:szCs w:val="22"/>
    </w:rPr>
  </w:style>
  <w:style w:type="paragraph" w:customStyle="1" w:styleId="ConsPlusTitlePage">
    <w:name w:val="ConsPlusTitlePage"/>
    <w:rsid w:val="00E3286A"/>
    <w:pPr>
      <w:widowControl w:val="0"/>
      <w:autoSpaceDE w:val="0"/>
      <w:autoSpaceDN w:val="0"/>
    </w:pPr>
    <w:rPr>
      <w:rFonts w:ascii="Tahoma" w:hAnsi="Tahoma" w:cs="Tahoma"/>
    </w:rPr>
  </w:style>
  <w:style w:type="paragraph" w:styleId="21">
    <w:name w:val="Body Text 2"/>
    <w:basedOn w:val="a"/>
    <w:link w:val="22"/>
    <w:uiPriority w:val="99"/>
    <w:unhideWhenUsed/>
    <w:rsid w:val="00B14CB3"/>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B14CB3"/>
    <w:rPr>
      <w:rFonts w:ascii="Calibri" w:eastAsia="Calibri" w:hAnsi="Calibri"/>
      <w:sz w:val="22"/>
      <w:szCs w:val="22"/>
      <w:lang w:eastAsia="en-US"/>
    </w:rPr>
  </w:style>
  <w:style w:type="paragraph" w:customStyle="1" w:styleId="alignjustify1">
    <w:name w:val="alignjustify1"/>
    <w:basedOn w:val="a"/>
    <w:rsid w:val="001C2AC7"/>
    <w:pPr>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744">
      <w:bodyDiv w:val="1"/>
      <w:marLeft w:val="0"/>
      <w:marRight w:val="0"/>
      <w:marTop w:val="0"/>
      <w:marBottom w:val="0"/>
      <w:divBdr>
        <w:top w:val="none" w:sz="0" w:space="0" w:color="auto"/>
        <w:left w:val="none" w:sz="0" w:space="0" w:color="auto"/>
        <w:bottom w:val="none" w:sz="0" w:space="0" w:color="auto"/>
        <w:right w:val="none" w:sz="0" w:space="0" w:color="auto"/>
      </w:divBdr>
    </w:div>
    <w:div w:id="174464614">
      <w:bodyDiv w:val="1"/>
      <w:marLeft w:val="0"/>
      <w:marRight w:val="0"/>
      <w:marTop w:val="0"/>
      <w:marBottom w:val="0"/>
      <w:divBdr>
        <w:top w:val="none" w:sz="0" w:space="0" w:color="auto"/>
        <w:left w:val="none" w:sz="0" w:space="0" w:color="auto"/>
        <w:bottom w:val="none" w:sz="0" w:space="0" w:color="auto"/>
        <w:right w:val="none" w:sz="0" w:space="0" w:color="auto"/>
      </w:divBdr>
    </w:div>
    <w:div w:id="212931982">
      <w:bodyDiv w:val="1"/>
      <w:marLeft w:val="0"/>
      <w:marRight w:val="0"/>
      <w:marTop w:val="0"/>
      <w:marBottom w:val="0"/>
      <w:divBdr>
        <w:top w:val="none" w:sz="0" w:space="0" w:color="auto"/>
        <w:left w:val="none" w:sz="0" w:space="0" w:color="auto"/>
        <w:bottom w:val="none" w:sz="0" w:space="0" w:color="auto"/>
        <w:right w:val="none" w:sz="0" w:space="0" w:color="auto"/>
      </w:divBdr>
    </w:div>
    <w:div w:id="256864547">
      <w:bodyDiv w:val="1"/>
      <w:marLeft w:val="0"/>
      <w:marRight w:val="0"/>
      <w:marTop w:val="0"/>
      <w:marBottom w:val="0"/>
      <w:divBdr>
        <w:top w:val="none" w:sz="0" w:space="0" w:color="auto"/>
        <w:left w:val="none" w:sz="0" w:space="0" w:color="auto"/>
        <w:bottom w:val="none" w:sz="0" w:space="0" w:color="auto"/>
        <w:right w:val="none" w:sz="0" w:space="0" w:color="auto"/>
      </w:divBdr>
    </w:div>
    <w:div w:id="291525398">
      <w:bodyDiv w:val="1"/>
      <w:marLeft w:val="0"/>
      <w:marRight w:val="0"/>
      <w:marTop w:val="0"/>
      <w:marBottom w:val="0"/>
      <w:divBdr>
        <w:top w:val="none" w:sz="0" w:space="0" w:color="auto"/>
        <w:left w:val="none" w:sz="0" w:space="0" w:color="auto"/>
        <w:bottom w:val="none" w:sz="0" w:space="0" w:color="auto"/>
        <w:right w:val="none" w:sz="0" w:space="0" w:color="auto"/>
      </w:divBdr>
    </w:div>
    <w:div w:id="469400686">
      <w:bodyDiv w:val="1"/>
      <w:marLeft w:val="0"/>
      <w:marRight w:val="0"/>
      <w:marTop w:val="0"/>
      <w:marBottom w:val="0"/>
      <w:divBdr>
        <w:top w:val="none" w:sz="0" w:space="0" w:color="auto"/>
        <w:left w:val="none" w:sz="0" w:space="0" w:color="auto"/>
        <w:bottom w:val="none" w:sz="0" w:space="0" w:color="auto"/>
        <w:right w:val="none" w:sz="0" w:space="0" w:color="auto"/>
      </w:divBdr>
    </w:div>
    <w:div w:id="721905917">
      <w:bodyDiv w:val="1"/>
      <w:marLeft w:val="0"/>
      <w:marRight w:val="0"/>
      <w:marTop w:val="0"/>
      <w:marBottom w:val="0"/>
      <w:divBdr>
        <w:top w:val="none" w:sz="0" w:space="0" w:color="auto"/>
        <w:left w:val="none" w:sz="0" w:space="0" w:color="auto"/>
        <w:bottom w:val="none" w:sz="0" w:space="0" w:color="auto"/>
        <w:right w:val="none" w:sz="0" w:space="0" w:color="auto"/>
      </w:divBdr>
    </w:div>
    <w:div w:id="844398539">
      <w:bodyDiv w:val="1"/>
      <w:marLeft w:val="0"/>
      <w:marRight w:val="0"/>
      <w:marTop w:val="0"/>
      <w:marBottom w:val="0"/>
      <w:divBdr>
        <w:top w:val="none" w:sz="0" w:space="0" w:color="auto"/>
        <w:left w:val="none" w:sz="0" w:space="0" w:color="auto"/>
        <w:bottom w:val="none" w:sz="0" w:space="0" w:color="auto"/>
        <w:right w:val="none" w:sz="0" w:space="0" w:color="auto"/>
      </w:divBdr>
    </w:div>
    <w:div w:id="925958945">
      <w:bodyDiv w:val="1"/>
      <w:marLeft w:val="0"/>
      <w:marRight w:val="0"/>
      <w:marTop w:val="0"/>
      <w:marBottom w:val="0"/>
      <w:divBdr>
        <w:top w:val="none" w:sz="0" w:space="0" w:color="auto"/>
        <w:left w:val="none" w:sz="0" w:space="0" w:color="auto"/>
        <w:bottom w:val="none" w:sz="0" w:space="0" w:color="auto"/>
        <w:right w:val="none" w:sz="0" w:space="0" w:color="auto"/>
      </w:divBdr>
    </w:div>
    <w:div w:id="960265728">
      <w:bodyDiv w:val="1"/>
      <w:marLeft w:val="0"/>
      <w:marRight w:val="0"/>
      <w:marTop w:val="0"/>
      <w:marBottom w:val="0"/>
      <w:divBdr>
        <w:top w:val="none" w:sz="0" w:space="0" w:color="auto"/>
        <w:left w:val="none" w:sz="0" w:space="0" w:color="auto"/>
        <w:bottom w:val="none" w:sz="0" w:space="0" w:color="auto"/>
        <w:right w:val="none" w:sz="0" w:space="0" w:color="auto"/>
      </w:divBdr>
    </w:div>
    <w:div w:id="1289630323">
      <w:bodyDiv w:val="1"/>
      <w:marLeft w:val="0"/>
      <w:marRight w:val="0"/>
      <w:marTop w:val="0"/>
      <w:marBottom w:val="0"/>
      <w:divBdr>
        <w:top w:val="none" w:sz="0" w:space="0" w:color="auto"/>
        <w:left w:val="none" w:sz="0" w:space="0" w:color="auto"/>
        <w:bottom w:val="none" w:sz="0" w:space="0" w:color="auto"/>
        <w:right w:val="none" w:sz="0" w:space="0" w:color="auto"/>
      </w:divBdr>
    </w:div>
    <w:div w:id="1310675433">
      <w:bodyDiv w:val="1"/>
      <w:marLeft w:val="0"/>
      <w:marRight w:val="0"/>
      <w:marTop w:val="0"/>
      <w:marBottom w:val="0"/>
      <w:divBdr>
        <w:top w:val="none" w:sz="0" w:space="0" w:color="auto"/>
        <w:left w:val="none" w:sz="0" w:space="0" w:color="auto"/>
        <w:bottom w:val="none" w:sz="0" w:space="0" w:color="auto"/>
        <w:right w:val="none" w:sz="0" w:space="0" w:color="auto"/>
      </w:divBdr>
    </w:div>
    <w:div w:id="1363171827">
      <w:bodyDiv w:val="1"/>
      <w:marLeft w:val="0"/>
      <w:marRight w:val="0"/>
      <w:marTop w:val="0"/>
      <w:marBottom w:val="0"/>
      <w:divBdr>
        <w:top w:val="none" w:sz="0" w:space="0" w:color="auto"/>
        <w:left w:val="none" w:sz="0" w:space="0" w:color="auto"/>
        <w:bottom w:val="none" w:sz="0" w:space="0" w:color="auto"/>
        <w:right w:val="none" w:sz="0" w:space="0" w:color="auto"/>
      </w:divBdr>
    </w:div>
    <w:div w:id="1580558860">
      <w:bodyDiv w:val="1"/>
      <w:marLeft w:val="0"/>
      <w:marRight w:val="0"/>
      <w:marTop w:val="0"/>
      <w:marBottom w:val="0"/>
      <w:divBdr>
        <w:top w:val="none" w:sz="0" w:space="0" w:color="auto"/>
        <w:left w:val="none" w:sz="0" w:space="0" w:color="auto"/>
        <w:bottom w:val="none" w:sz="0" w:space="0" w:color="auto"/>
        <w:right w:val="none" w:sz="0" w:space="0" w:color="auto"/>
      </w:divBdr>
    </w:div>
    <w:div w:id="16690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E2BEDF08538014FE7D91A92B7CE5CF20FC1DFEB8D5457486CA619A3445653BB89E962E733EC0BAE02909E586k9T5N" TargetMode="External"/><Relationship Id="rId13" Type="http://schemas.openxmlformats.org/officeDocument/2006/relationships/hyperlink" Target="http://www.zakup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hiv.tatar.ru/rus/info.php?id=6178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B317CC4F45CA8C234986815F8C659EB049F89DA8CFD086DBB704CA432D29BB4010F7266049F44A8499C1B459F942CDDAD5E4BC2E8F2AC29629ECg8S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hod.tatar.ru/" TargetMode="External"/><Relationship Id="rId4" Type="http://schemas.openxmlformats.org/officeDocument/2006/relationships/settings" Target="settings.xml"/><Relationship Id="rId9" Type="http://schemas.openxmlformats.org/officeDocument/2006/relationships/hyperlink" Target="consultantplus://offline/ref=4DE2BEDF08538014FE7D8FA43D10B8C029FF40F3B3D14A26DB953AC7634C6F6CEDD19772356AD3B9E3290AE7999F17DEk2TF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f\Application%20Data\Microsoft\&#1064;&#1072;&#1073;&#1083;&#1086;&#1085;&#1099;\Prikaz0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4001-A7AB-4606-964F-8D212A75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Prikaz05</Template>
  <TotalTime>0</TotalTime>
  <Pages>7</Pages>
  <Words>6809</Words>
  <Characters>38812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usermf</dc:creator>
  <cp:lastModifiedBy>ОКН_секретарь</cp:lastModifiedBy>
  <cp:revision>2</cp:revision>
  <cp:lastPrinted>2019-04-09T15:26:00Z</cp:lastPrinted>
  <dcterms:created xsi:type="dcterms:W3CDTF">2020-07-21T07:59:00Z</dcterms:created>
  <dcterms:modified xsi:type="dcterms:W3CDTF">2020-07-21T07:59:00Z</dcterms:modified>
</cp:coreProperties>
</file>